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hh0tj2423b3x" w:id="0"/>
      <w:bookmarkEnd w:id="0"/>
      <w:r w:rsidDel="00000000" w:rsidR="00000000" w:rsidRPr="00000000">
        <w:rPr>
          <w:rtl w:val="0"/>
        </w:rPr>
        <w:t xml:space="preserve">Overview: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pageBreakBefore w:val="0"/>
        <w:spacing w:before="180" w:lineRule="auto"/>
        <w:ind w:left="450" w:righ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Monkeypox is an emerging viral disease, but the risk of infection in the workplace is very low. Some precautions, however, are considered for non-healthcare and non-isolation housing custodial work, since monkeypox can be spread via contact with contaminated linen and other surfaces that make contact with the skin.  Monkeypox is more of a contact-transmission exposure risk, not so much an aerosol exposure risk (like COVID-19).  Review general monkeypox information in the provided links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ageBreakBefore w:val="0"/>
        <w:rPr/>
      </w:pPr>
      <w:bookmarkStart w:colFirst="0" w:colLast="0" w:name="_wv8r7airbjjw" w:id="1"/>
      <w:bookmarkEnd w:id="1"/>
      <w:r w:rsidDel="00000000" w:rsidR="00000000" w:rsidRPr="00000000">
        <w:rPr>
          <w:rtl w:val="0"/>
        </w:rPr>
        <w:t xml:space="preserve">Instructions: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spacing w:before="180" w:lineRule="auto"/>
        <w:ind w:left="45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Review, “</w:t>
      </w:r>
      <w:r w:rsidDel="00000000" w:rsidR="00000000" w:rsidRPr="00000000">
        <w:rPr>
          <w:rFonts w:ascii="Libre Franklin Medium" w:cs="Libre Franklin Medium" w:eastAsia="Libre Franklin Medium" w:hAnsi="Libre Franklin Medium"/>
          <w:i w:val="1"/>
          <w:sz w:val="24"/>
          <w:szCs w:val="24"/>
          <w:rtl w:val="0"/>
        </w:rPr>
        <w:t xml:space="preserve">Task Description”</w:t>
      </w:r>
      <w:r w:rsidDel="00000000" w:rsidR="00000000" w:rsidRPr="00000000">
        <w:rPr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Libre Franklin Medium" w:cs="Libre Franklin Medium" w:eastAsia="Libre Franklin Medium" w:hAnsi="Libre Franklin Medium"/>
          <w:i w:val="1"/>
          <w:sz w:val="24"/>
          <w:szCs w:val="24"/>
          <w:rtl w:val="0"/>
        </w:rPr>
        <w:t xml:space="preserve"> “Type of Hazard”</w:t>
      </w:r>
      <w:r w:rsidDel="00000000" w:rsidR="00000000" w:rsidRPr="00000000">
        <w:rPr>
          <w:sz w:val="24"/>
          <w:szCs w:val="24"/>
          <w:rtl w:val="0"/>
        </w:rPr>
        <w:t xml:space="preserve"> questions, follow “</w:t>
      </w:r>
      <w:r w:rsidDel="00000000" w:rsidR="00000000" w:rsidRPr="00000000">
        <w:rPr>
          <w:rFonts w:ascii="Libre Franklin Medium" w:cs="Libre Franklin Medium" w:eastAsia="Libre Franklin Medium" w:hAnsi="Libre Franklin Medium"/>
          <w:i w:val="1"/>
          <w:sz w:val="24"/>
          <w:szCs w:val="24"/>
          <w:rtl w:val="0"/>
        </w:rPr>
        <w:t xml:space="preserve">Type of Control</w:t>
      </w:r>
      <w:r w:rsidDel="00000000" w:rsidR="00000000" w:rsidRPr="00000000">
        <w:rPr>
          <w:rFonts w:ascii="Libre Franklin Medium" w:cs="Libre Franklin Medium" w:eastAsia="Libre Franklin Medium" w:hAnsi="Libre Franklin Medium"/>
          <w:i w:val="1"/>
          <w:sz w:val="24"/>
          <w:szCs w:val="24"/>
          <w:rtl w:val="0"/>
        </w:rPr>
        <w:t xml:space="preserve">” </w:t>
      </w:r>
      <w:r w:rsidDel="00000000" w:rsidR="00000000" w:rsidRPr="00000000">
        <w:rPr>
          <w:sz w:val="24"/>
          <w:szCs w:val="24"/>
          <w:rtl w:val="0"/>
        </w:rPr>
        <w:t xml:space="preserve">recommendations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rPr/>
      </w:pPr>
      <w:bookmarkStart w:colFirst="0" w:colLast="0" w:name="_3hglkoc22nw2" w:id="2"/>
      <w:bookmarkEnd w:id="2"/>
      <w:r w:rsidDel="00000000" w:rsidR="00000000" w:rsidRPr="00000000">
        <w:rPr>
          <w:rtl w:val="0"/>
        </w:rPr>
        <w:t xml:space="preserve">Additional Information: </w:t>
      </w:r>
    </w:p>
    <w:p w:rsidR="00000000" w:rsidDel="00000000" w:rsidP="00000000" w:rsidRDefault="00000000" w:rsidRPr="00000000" w14:paraId="00000006">
      <w:pPr>
        <w:pageBreakBefore w:val="0"/>
        <w:ind w:left="450" w:firstLine="0"/>
        <w:jc w:val="left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UHS Monkeypox Information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450" w:firstLine="0"/>
        <w:jc w:val="left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CDC Monkeypox Information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pageBreakBefore w:val="0"/>
        <w:ind w:left="450" w:firstLine="0"/>
        <w:jc w:val="left"/>
        <w:rPr>
          <w:rFonts w:ascii="Libre Franklin" w:cs="Libre Franklin" w:eastAsia="Libre Franklin" w:hAnsi="Libre Franklin"/>
          <w:b w:val="1"/>
        </w:rPr>
      </w:pPr>
      <w:bookmarkStart w:colFirst="0" w:colLast="0" w:name="_twln61mpes74" w:id="3"/>
      <w:bookmarkEnd w:id="3"/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Contributors:</w:t>
        <w:tab/>
      </w:r>
    </w:p>
    <w:p w:rsidR="00000000" w:rsidDel="00000000" w:rsidP="00000000" w:rsidRDefault="00000000" w:rsidRPr="00000000" w14:paraId="00000009">
      <w:pPr>
        <w:pageBreakBefore w:val="0"/>
        <w:ind w:left="450" w:firstLine="0"/>
        <w:jc w:val="left"/>
        <w:rPr/>
      </w:pPr>
      <w:r w:rsidDel="00000000" w:rsidR="00000000" w:rsidRPr="00000000">
        <w:rPr>
          <w:rtl w:val="0"/>
        </w:rPr>
        <w:t xml:space="preserve">Patrick Kaulback - EH&amp;S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450" w:firstLine="0"/>
        <w:jc w:val="left"/>
        <w:rPr/>
      </w:pPr>
      <w:r w:rsidDel="00000000" w:rsidR="00000000" w:rsidRPr="00000000">
        <w:rPr>
          <w:rtl w:val="0"/>
        </w:rPr>
        <w:t xml:space="preserve">Stephanie Ngan - Safety Officer, Division of Student Affairs</w:t>
      </w:r>
    </w:p>
    <w:p w:rsidR="00000000" w:rsidDel="00000000" w:rsidP="00000000" w:rsidRDefault="00000000" w:rsidRPr="00000000" w14:paraId="0000000B">
      <w:pPr>
        <w:pageBreakBefore w:val="0"/>
        <w:ind w:left="450" w:firstLine="0"/>
        <w:jc w:val="left"/>
        <w:rPr/>
      </w:pPr>
      <w:r w:rsidDel="00000000" w:rsidR="00000000" w:rsidRPr="00000000">
        <w:rPr>
          <w:rtl w:val="0"/>
        </w:rPr>
        <w:t xml:space="preserve">Mark Kinnard - Director, RSSP Custodial Services</w:t>
      </w:r>
    </w:p>
    <w:p w:rsidR="00000000" w:rsidDel="00000000" w:rsidP="00000000" w:rsidRDefault="00000000" w:rsidRPr="00000000" w14:paraId="0000000C">
      <w:pPr>
        <w:pStyle w:val="Heading3"/>
        <w:pageBreakBefore w:val="0"/>
        <w:ind w:left="450" w:firstLine="0"/>
        <w:jc w:val="left"/>
        <w:rPr>
          <w:rFonts w:ascii="Libre Franklin" w:cs="Libre Franklin" w:eastAsia="Libre Franklin" w:hAnsi="Libre Franklin"/>
          <w:b w:val="1"/>
        </w:rPr>
      </w:pPr>
      <w:bookmarkStart w:colFirst="0" w:colLast="0" w:name="_kudrg54v2kqs" w:id="4"/>
      <w:bookmarkEnd w:id="4"/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Created:</w:t>
        <w:tab/>
      </w:r>
    </w:p>
    <w:p w:rsidR="00000000" w:rsidDel="00000000" w:rsidP="00000000" w:rsidRDefault="00000000" w:rsidRPr="00000000" w14:paraId="0000000D">
      <w:pPr>
        <w:pageBreakBefore w:val="0"/>
        <w:ind w:left="450" w:firstLine="0"/>
        <w:jc w:val="left"/>
        <w:rPr/>
      </w:pPr>
      <w:r w:rsidDel="00000000" w:rsidR="00000000" w:rsidRPr="00000000">
        <w:rPr>
          <w:rtl w:val="0"/>
        </w:rPr>
        <w:t xml:space="preserve">August 12, 2022</w:t>
      </w:r>
    </w:p>
    <w:p w:rsidR="00000000" w:rsidDel="00000000" w:rsidP="00000000" w:rsidRDefault="00000000" w:rsidRPr="00000000" w14:paraId="0000000E">
      <w:pPr>
        <w:pStyle w:val="Heading3"/>
        <w:pageBreakBefore w:val="0"/>
        <w:ind w:left="450" w:firstLine="0"/>
        <w:jc w:val="left"/>
        <w:rPr>
          <w:rFonts w:ascii="Libre Franklin" w:cs="Libre Franklin" w:eastAsia="Libre Franklin" w:hAnsi="Libre Franklin"/>
          <w:b w:val="1"/>
        </w:rPr>
      </w:pPr>
      <w:bookmarkStart w:colFirst="0" w:colLast="0" w:name="_4mqrjhoe0c6r" w:id="5"/>
      <w:bookmarkEnd w:id="5"/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JSA Library Number:</w:t>
        <w:tab/>
      </w:r>
    </w:p>
    <w:p w:rsidR="00000000" w:rsidDel="00000000" w:rsidP="00000000" w:rsidRDefault="00000000" w:rsidRPr="00000000" w14:paraId="0000000F">
      <w:pPr>
        <w:pageBreakBefore w:val="0"/>
        <w:ind w:left="450" w:firstLine="0"/>
        <w:jc w:val="left"/>
        <w:rPr/>
      </w:pPr>
      <w:r w:rsidDel="00000000" w:rsidR="00000000" w:rsidRPr="00000000">
        <w:rPr>
          <w:rtl w:val="0"/>
        </w:rPr>
        <w:t xml:space="preserve">HCS-MIP-01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0" w:firstLine="0"/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  <w:t xml:space="preserve">For more information about this JSA, contact EHS@berkeley.edu.</w:t>
      </w:r>
      <w:r w:rsidDel="00000000" w:rsidR="00000000" w:rsidRPr="00000000">
        <w:rPr>
          <w:rtl w:val="0"/>
        </w:rPr>
      </w:r>
    </w:p>
    <w:tbl>
      <w:tblPr>
        <w:tblStyle w:val="Table1"/>
        <w:tblW w:w="15840.0" w:type="dxa"/>
        <w:jc w:val="left"/>
        <w:tblInd w:w="215.99999999999997" w:type="pct"/>
        <w:tblBorders>
          <w:top w:color="eeeeee" w:space="0" w:sz="4" w:val="single"/>
          <w:left w:color="eeeeee" w:space="0" w:sz="4" w:val="single"/>
          <w:bottom w:color="eeeeee" w:space="0" w:sz="4" w:val="single"/>
          <w:right w:color="eeeeee" w:space="0" w:sz="4" w:val="single"/>
          <w:insideH w:color="eeeeee" w:space="0" w:sz="4" w:val="single"/>
          <w:insideV w:color="eeeeee" w:space="0" w:sz="4" w:val="single"/>
        </w:tblBorders>
        <w:tblLayout w:type="fixed"/>
        <w:tblLook w:val="0600"/>
      </w:tblPr>
      <w:tblGrid>
        <w:gridCol w:w="4005"/>
        <w:gridCol w:w="4890"/>
        <w:gridCol w:w="6945"/>
        <w:tblGridChange w:id="0">
          <w:tblGrid>
            <w:gridCol w:w="4005"/>
            <w:gridCol w:w="4890"/>
            <w:gridCol w:w="6945"/>
          </w:tblGrid>
        </w:tblGridChange>
      </w:tblGrid>
      <w:tr>
        <w:trPr>
          <w:cantSplit w:val="0"/>
          <w:trHeight w:val="431.99999999999994" w:hRule="atLeast"/>
          <w:tblHeader w:val="0"/>
        </w:trPr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numPr>
                <w:ilvl w:val="0"/>
                <w:numId w:val="5"/>
              </w:numPr>
              <w:spacing w:after="180" w:before="180" w:lineRule="auto"/>
              <w:ind w:left="720" w:right="0" w:hanging="360"/>
              <w:rPr>
                <w:b w:val="1"/>
                <w:color w:val="404040"/>
                <w:u w:val="none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Restroom Cleaning</w:t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after="180" w:before="180" w:lineRule="auto"/>
              <w:ind w:left="270" w:right="0" w:firstLine="0"/>
              <w:rPr>
                <w:b w:val="1"/>
                <w:color w:val="404040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Contact with  contaminated surfaces</w:t>
            </w:r>
          </w:p>
          <w:p w:rsidR="00000000" w:rsidDel="00000000" w:rsidP="00000000" w:rsidRDefault="00000000" w:rsidRPr="00000000" w14:paraId="00000013">
            <w:pPr>
              <w:pageBreakBefore w:val="0"/>
              <w:spacing w:after="180" w:before="180" w:lineRule="auto"/>
              <w:ind w:left="270" w:right="0" w:firstLine="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Toilet seats, appliance handles, door handles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numPr>
                <w:ilvl w:val="0"/>
                <w:numId w:val="4"/>
              </w:numPr>
              <w:spacing w:after="0" w:afterAutospacing="0" w:before="18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PPE including: Disposable gloves, uniform with long-sleeved shirt or optional Tyvek suit </w:t>
            </w:r>
          </w:p>
          <w:p w:rsidR="00000000" w:rsidDel="00000000" w:rsidP="00000000" w:rsidRDefault="00000000" w:rsidRPr="00000000" w14:paraId="00000015">
            <w:pPr>
              <w:pageBreakBefore w:val="0"/>
              <w:numPr>
                <w:ilvl w:val="0"/>
                <w:numId w:val="4"/>
              </w:numPr>
              <w:spacing w:after="18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Surface disinfection with approved disinfectant (can </w:t>
            </w: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be same</w:t>
            </w: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 one used for COVID-19 or other from </w:t>
            </w:r>
            <w:hyperlink r:id="rId8">
              <w:r w:rsidDel="00000000" w:rsidR="00000000" w:rsidRPr="00000000">
                <w:rPr>
                  <w:color w:val="1155cc"/>
                  <w:sz w:val="21"/>
                  <w:szCs w:val="21"/>
                  <w:u w:val="single"/>
                  <w:rtl w:val="0"/>
                </w:rPr>
                <w:t xml:space="preserve">EPA List Q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shd w:fill="f3f3f3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5"/>
              </w:numPr>
              <w:spacing w:after="180" w:before="180" w:lineRule="auto"/>
              <w:ind w:left="720" w:hanging="360"/>
              <w:rPr>
                <w:b w:val="1"/>
                <w:color w:val="404040"/>
                <w:u w:val="none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Waste Handling</w:t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shd w:fill="f3f3f3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180" w:before="180" w:lineRule="auto"/>
              <w:ind w:left="270" w:firstLine="0"/>
              <w:rPr>
                <w:b w:val="1"/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b w:val="1"/>
                <w:color w:val="404040"/>
                <w:sz w:val="21"/>
                <w:szCs w:val="21"/>
                <w:rtl w:val="0"/>
              </w:rPr>
              <w:t xml:space="preserve">Dispersion of shedded lesions</w:t>
            </w:r>
          </w:p>
          <w:p w:rsidR="00000000" w:rsidDel="00000000" w:rsidP="00000000" w:rsidRDefault="00000000" w:rsidRPr="00000000" w14:paraId="00000018">
            <w:pPr>
              <w:pageBreakBefore w:val="0"/>
              <w:spacing w:after="180" w:before="180" w:lineRule="auto"/>
              <w:ind w:left="270" w:firstLine="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Waste containers may contain items that have been in contact with an infected person’s skin.</w:t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shd w:fill="f3f3f3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2"/>
              </w:numPr>
              <w:spacing w:after="0" w:afterAutospacing="0" w:before="18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Do not shake waste containers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Seal trash bags before handling them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2"/>
              </w:numPr>
              <w:spacing w:after="18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PPE including: face covering  or voluntary N95 use; disposable gloves, long-sleeved shirt, or optional Tyvek suit</w:t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180" w:before="180" w:lineRule="auto"/>
              <w:ind w:left="720" w:hanging="360"/>
              <w:rPr>
                <w:b w:val="1"/>
                <w:color w:val="404040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3.   General Facility Cleaning</w:t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180" w:before="180" w:lineRule="auto"/>
              <w:ind w:left="270" w:firstLine="0"/>
              <w:rPr>
                <w:b w:val="1"/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b w:val="1"/>
                <w:color w:val="404040"/>
                <w:sz w:val="21"/>
                <w:szCs w:val="21"/>
                <w:rtl w:val="0"/>
              </w:rPr>
              <w:t xml:space="preserve">Dry Sweeping, Dusting, Vacuuming</w:t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180" w:before="180" w:lineRule="auto"/>
              <w:ind w:left="270" w:firstLine="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Airborne dispersion of infected particles during dry methods of cleaning.  Not a significant hazard in the workplace outside of isolation housing and healthcare facilities.  Community prevalence of monkeypox is very low.</w:t>
            </w:r>
          </w:p>
          <w:p w:rsidR="00000000" w:rsidDel="00000000" w:rsidP="00000000" w:rsidRDefault="00000000" w:rsidRPr="00000000" w14:paraId="0000001F">
            <w:pPr>
              <w:pageBreakBefore w:val="0"/>
              <w:spacing w:after="180" w:before="180" w:lineRule="auto"/>
              <w:ind w:left="270" w:firstLine="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3"/>
              </w:numPr>
              <w:spacing w:after="0" w:afterAutospacing="0" w:before="18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Use wet-cleaning methods that avoid creating airborne particles, e.g. mopping, spray wipe, damp cloth, etc.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Use vacuums equipped with HEPA filters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spacing w:after="180" w:before="0" w:beforeAutospacing="0" w:lineRule="auto"/>
              <w:ind w:left="720" w:hanging="36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PPE including: face covering  or voluntary N95 use; disposable gloves, long-sleeved shirt, or optional Tyvek suit</w:t>
            </w:r>
          </w:p>
          <w:p w:rsidR="00000000" w:rsidDel="00000000" w:rsidP="00000000" w:rsidRDefault="00000000" w:rsidRPr="00000000" w14:paraId="00000023">
            <w:pPr>
              <w:pageBreakBefore w:val="0"/>
              <w:spacing w:after="180" w:before="180" w:lineRule="auto"/>
              <w:ind w:left="720" w:firstLine="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.99999999999994" w:hRule="atLeast"/>
          <w:tblHeader w:val="0"/>
        </w:trPr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shd w:fill="efefef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180" w:before="180" w:lineRule="auto"/>
              <w:ind w:left="720" w:hanging="360"/>
              <w:rPr>
                <w:b w:val="1"/>
                <w:color w:val="404040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4.  Linen Handling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4219575</wp:posOffset>
                  </wp:positionH>
                  <wp:positionV relativeFrom="paragraph">
                    <wp:posOffset>-57149</wp:posOffset>
                  </wp:positionV>
                  <wp:extent cx="2088133" cy="1603686"/>
                  <wp:effectExtent b="0" l="0" r="0" t="0"/>
                  <wp:wrapSquare wrapText="bothSides" distB="19050" distT="19050" distL="19050" distR="1905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33" cy="1603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shd w:fill="efefef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180" w:before="180" w:lineRule="auto"/>
              <w:ind w:left="270" w:firstLine="0"/>
              <w:rPr>
                <w:b w:val="1"/>
                <w:color w:val="404040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Dispersion of shedded lesions and contact with contaminated linens</w:t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180" w:before="180" w:lineRule="auto"/>
              <w:ind w:left="270" w:firstLine="0"/>
              <w:rPr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Mainly a hazard in isolation housing and healthcare facilities for linens such as bedding, towels, cloth napkins.</w:t>
            </w:r>
          </w:p>
          <w:p w:rsidR="00000000" w:rsidDel="00000000" w:rsidP="00000000" w:rsidRDefault="00000000" w:rsidRPr="00000000" w14:paraId="00000027">
            <w:pPr>
              <w:pageBreakBefore w:val="0"/>
              <w:spacing w:after="180" w:before="180" w:lineRule="auto"/>
              <w:ind w:left="270" w:firstLine="0"/>
              <w:rPr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Table linens are a low risk, but all linens should be handled in the same way.</w:t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shd w:fill="efefef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1"/>
              </w:numPr>
              <w:spacing w:after="0" w:afterAutospacing="0" w:before="18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Do not shake soiled linens</w:t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Transport soiled linens in closed bags</w:t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Routine washing/drying is appropriate</w:t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PPE including: face covering or voluntary N95, safety glasses, disposable gloves, long-sleeved shirt, or optional Tyvek suit.</w:t>
            </w:r>
          </w:p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1"/>
              </w:numPr>
              <w:spacing w:after="180" w:before="0" w:beforeAutospacing="0" w:lineRule="auto"/>
              <w:ind w:left="720" w:hanging="360"/>
              <w:rPr>
                <w:color w:val="404040"/>
                <w:sz w:val="21"/>
                <w:szCs w:val="21"/>
                <w:u w:val="none"/>
              </w:rPr>
            </w:pPr>
            <w:r w:rsidDel="00000000" w:rsidR="00000000" w:rsidRPr="00000000">
              <w:rPr>
                <w:color w:val="404040"/>
                <w:sz w:val="21"/>
                <w:szCs w:val="21"/>
                <w:rtl w:val="0"/>
              </w:rPr>
              <w:t xml:space="preserve">Wash hands after task</w:t>
            </w:r>
          </w:p>
        </w:tc>
      </w:tr>
      <w:tr>
        <w:trPr>
          <w:cantSplit w:val="0"/>
          <w:trHeight w:val="3345" w:hRule="atLeast"/>
          <w:tblHeader w:val="0"/>
        </w:trPr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after="180" w:before="180" w:lineRule="auto"/>
              <w:ind w:firstLine="360"/>
              <w:rPr>
                <w:b w:val="1"/>
                <w:color w:val="404040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5.  Laundry Room Service</w:t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after="180" w:before="180" w:lineRule="auto"/>
              <w:ind w:left="270" w:firstLine="0"/>
              <w:rPr>
                <w:b w:val="1"/>
                <w:color w:val="404040"/>
              </w:rPr>
            </w:pPr>
            <w:r w:rsidDel="00000000" w:rsidR="00000000" w:rsidRPr="00000000">
              <w:rPr>
                <w:b w:val="1"/>
                <w:color w:val="404040"/>
                <w:rtl w:val="0"/>
              </w:rPr>
              <w:t xml:space="preserve">Dispersion of shedded lesions in soiled linens/clothing</w:t>
            </w:r>
          </w:p>
          <w:p w:rsidR="00000000" w:rsidDel="00000000" w:rsidP="00000000" w:rsidRDefault="00000000" w:rsidRPr="00000000" w14:paraId="0000002F">
            <w:pPr>
              <w:pageBreakBefore w:val="0"/>
              <w:spacing w:after="180" w:before="180" w:lineRule="auto"/>
              <w:ind w:left="270" w:firstLine="0"/>
              <w:rPr>
                <w:color w:val="404040"/>
                <w:sz w:val="21"/>
                <w:szCs w:val="21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Exposure risks may come from handling linen/clothing left behind from unknown sources, and from cleaning laundry rooms with dry methods such as sweeping, dusting, and vacuuming.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eeeee" w:space="0" w:sz="4" w:val="single"/>
              <w:left w:color="eeeeee" w:space="0" w:sz="4" w:val="single"/>
              <w:bottom w:color="eeeeee" w:space="0" w:sz="4" w:val="single"/>
              <w:right w:color="eeeeee" w:space="0" w:sz="4" w:val="single"/>
            </w:tcBorders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numPr>
                <w:ilvl w:val="0"/>
                <w:numId w:val="6"/>
              </w:numPr>
              <w:spacing w:after="0" w:afterAutospacing="0" w:before="18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Do not disturb unknown linens left behind by others if possible.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When handling linens/clothing, do not shake them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If linens/clothing will be thrown away, put them in a plastic trash bag, seal it, and put it in a landfill container.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Wear PPE including: face covering or voluntary N95, disposable gloves, safety glasses, long-sleeved shirt, or optional Tyvek suit.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Use wet-cleaning methods such as mopping, surface sprays, damp cloths, etc.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Use vacuums with HEPA filters</w:t>
            </w:r>
          </w:p>
          <w:p w:rsidR="00000000" w:rsidDel="00000000" w:rsidP="00000000" w:rsidRDefault="00000000" w:rsidRPr="00000000" w14:paraId="00000036">
            <w:pPr>
              <w:pageBreakBefore w:val="0"/>
              <w:numPr>
                <w:ilvl w:val="0"/>
                <w:numId w:val="6"/>
              </w:numPr>
              <w:spacing w:after="180" w:before="0" w:beforeAutospacing="0" w:lineRule="auto"/>
              <w:ind w:left="720" w:hanging="360"/>
              <w:rPr>
                <w:rFonts w:ascii="Arial" w:cs="Arial" w:eastAsia="Arial" w:hAnsi="Arial"/>
                <w:sz w:val="21"/>
                <w:szCs w:val="21"/>
                <w:highlight w:val="white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Disinfect potentially contaminated surfaces with approved disinfectant from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1"/>
                  <w:szCs w:val="21"/>
                  <w:highlight w:val="white"/>
                  <w:u w:val="single"/>
                  <w:rtl w:val="0"/>
                </w:rPr>
                <w:t xml:space="preserve">EPA List Q</w:t>
              </w:r>
            </w:hyperlink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highlight w:val="whit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2240" w:w="15840" w:orient="landscape"/>
      <w:pgMar w:bottom="720" w:top="720" w:left="0" w:right="0" w:header="0" w:footer="27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Libre Franklin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Frankl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ibre Franklin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pen Sans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ageBreakBefore w:val="0"/>
      <w:spacing w:after="120" w:before="120" w:lineRule="auto"/>
      <w:jc w:val="center"/>
      <w:rPr>
        <w:rFonts w:ascii="Libre Franklin Medium" w:cs="Libre Franklin Medium" w:eastAsia="Libre Franklin Medium" w:hAnsi="Libre Franklin Medium"/>
        <w:sz w:val="18"/>
        <w:szCs w:val="18"/>
      </w:rPr>
    </w:pPr>
    <w:r w:rsidDel="00000000" w:rsidR="00000000" w:rsidRPr="00000000">
      <w:rPr>
        <w:rFonts w:ascii="Libre Franklin Medium" w:cs="Libre Franklin Medium" w:eastAsia="Libre Franklin Medium" w:hAnsi="Libre Franklin Medium"/>
        <w:sz w:val="18"/>
        <w:szCs w:val="18"/>
        <w:rtl w:val="0"/>
      </w:rPr>
      <w:t xml:space="preserve">Page </w:t>
    </w:r>
    <w:r w:rsidDel="00000000" w:rsidR="00000000" w:rsidRPr="00000000">
      <w:rPr>
        <w:rFonts w:ascii="Libre Franklin Medium" w:cs="Libre Franklin Medium" w:eastAsia="Libre Franklin Medium" w:hAnsi="Libre Franklin Medium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Libre Franklin Medium" w:cs="Libre Franklin Medium" w:eastAsia="Libre Franklin Medium" w:hAnsi="Libre Franklin Medium"/>
        <w:sz w:val="18"/>
        <w:szCs w:val="18"/>
        <w:rtl w:val="0"/>
      </w:rPr>
      <w:t xml:space="preserve">  of  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ageBreakBefore w:val="0"/>
      <w:jc w:val="center"/>
      <w:rPr/>
    </w:pPr>
    <w:r w:rsidDel="00000000" w:rsidR="00000000" w:rsidRPr="00000000">
      <w:rPr>
        <w:rFonts w:ascii="Libre Franklin Medium" w:cs="Libre Franklin Medium" w:eastAsia="Libre Franklin Medium" w:hAnsi="Libre Franklin Medium"/>
        <w:color w:val="003262"/>
        <w:sz w:val="18"/>
        <w:szCs w:val="18"/>
        <w:rtl w:val="0"/>
      </w:rPr>
      <w:t xml:space="preserve">Environment, Health &amp; Safety  •  University of California, Berkeley  •  ehs.berkeley.edu  •  ehs@berkeley.edu  •  (510) 642-3073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spacing w:after="120" w:before="120" w:lineRule="auto"/>
      <w:jc w:val="center"/>
      <w:rPr>
        <w:rFonts w:ascii="Libre Franklin Medium" w:cs="Libre Franklin Medium" w:eastAsia="Libre Franklin Medium" w:hAnsi="Libre Franklin Medium"/>
        <w:color w:val="003262"/>
        <w:sz w:val="18"/>
        <w:szCs w:val="18"/>
      </w:rPr>
    </w:pPr>
    <w:r w:rsidDel="00000000" w:rsidR="00000000" w:rsidRPr="00000000">
      <w:rPr>
        <w:rFonts w:ascii="Libre Franklin Medium" w:cs="Libre Franklin Medium" w:eastAsia="Libre Franklin Medium" w:hAnsi="Libre Franklin Medium"/>
        <w:sz w:val="18"/>
        <w:szCs w:val="18"/>
        <w:rtl w:val="0"/>
      </w:rPr>
      <w:t xml:space="preserve">Page </w:t>
    </w:r>
    <w:r w:rsidDel="00000000" w:rsidR="00000000" w:rsidRPr="00000000">
      <w:rPr>
        <w:rFonts w:ascii="Libre Franklin Medium" w:cs="Libre Franklin Medium" w:eastAsia="Libre Franklin Medium" w:hAnsi="Libre Franklin Medium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Libre Franklin Medium" w:cs="Libre Franklin Medium" w:eastAsia="Libre Franklin Medium" w:hAnsi="Libre Franklin Medium"/>
        <w:sz w:val="18"/>
        <w:szCs w:val="18"/>
        <w:rtl w:val="0"/>
      </w:rPr>
      <w:t xml:space="preserve">  of  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ageBreakBefore w:val="0"/>
      <w:jc w:val="center"/>
      <w:rPr/>
    </w:pPr>
    <w:r w:rsidDel="00000000" w:rsidR="00000000" w:rsidRPr="00000000">
      <w:rPr>
        <w:rFonts w:ascii="Libre Franklin Medium" w:cs="Libre Franklin Medium" w:eastAsia="Libre Franklin Medium" w:hAnsi="Libre Franklin Medium"/>
        <w:color w:val="003262"/>
        <w:sz w:val="18"/>
        <w:szCs w:val="18"/>
        <w:rtl w:val="0"/>
      </w:rPr>
      <w:t xml:space="preserve">Environment, Health &amp; Safety  •  University of California, Berkeley  •  ehs.berkeley.edu  •  ehs@berkeley.edu  •  (510) 642-3073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15825.0" w:type="dxa"/>
      <w:jc w:val="left"/>
      <w:tblInd w:w="100.0" w:type="pct"/>
      <w:tblLayout w:type="fixed"/>
      <w:tblLook w:val="0600"/>
    </w:tblPr>
    <w:tblGrid>
      <w:gridCol w:w="8625"/>
      <w:gridCol w:w="7200"/>
      <w:tblGridChange w:id="0">
        <w:tblGrid>
          <w:gridCol w:w="8625"/>
          <w:gridCol w:w="7200"/>
        </w:tblGrid>
      </w:tblGridChange>
    </w:tblGrid>
    <w:tr>
      <w:trPr>
        <w:cantSplit w:val="0"/>
        <w:trHeight w:val="220" w:hRule="atLeast"/>
        <w:tblHeader w:val="0"/>
      </w:trPr>
      <w:tc>
        <w:tcPr>
          <w:gridSpan w:val="2"/>
          <w:shd w:fill="003262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9">
          <w:pPr>
            <w:pageBreakBefore w:val="0"/>
            <w:widowControl w:val="0"/>
            <w:spacing w:before="280" w:line="240" w:lineRule="auto"/>
            <w:ind w:left="450" w:firstLine="0"/>
            <w:rPr>
              <w:rFonts w:ascii="Open Sans" w:cs="Open Sans" w:eastAsia="Open Sans" w:hAnsi="Open Sans"/>
              <w:color w:val="ffffff"/>
              <w:sz w:val="78"/>
              <w:szCs w:val="78"/>
            </w:rPr>
          </w:pPr>
          <w:r w:rsidDel="00000000" w:rsidR="00000000" w:rsidRPr="00000000">
            <w:rPr>
              <w:rFonts w:ascii="Open Sans" w:cs="Open Sans" w:eastAsia="Open Sans" w:hAnsi="Open Sans"/>
              <w:color w:val="ffffff"/>
              <w:sz w:val="78"/>
              <w:szCs w:val="78"/>
              <w:rtl w:val="0"/>
            </w:rPr>
            <w:t xml:space="preserve">Job Safety Analysis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200025</wp:posOffset>
                </wp:positionV>
                <wp:extent cx="3140670" cy="700088"/>
                <wp:effectExtent b="0" l="0" r="0" t="0"/>
                <wp:wrapSquare wrapText="bothSides" distB="114300" distT="114300" distL="114300" distR="11430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0670" cy="7000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3A">
          <w:pPr>
            <w:pageBreakBefore w:val="0"/>
            <w:widowControl w:val="0"/>
            <w:spacing w:before="120" w:line="240" w:lineRule="auto"/>
            <w:ind w:left="810" w:hanging="90"/>
            <w:rPr>
              <w:color w:val="ffffff"/>
              <w:sz w:val="18"/>
              <w:szCs w:val="18"/>
            </w:rPr>
          </w:pPr>
          <w:r w:rsidDel="00000000" w:rsidR="00000000" w:rsidRPr="00000000">
            <w:rPr>
              <w:i w:val="1"/>
              <w:color w:val="ffffff"/>
              <w:rtl w:val="0"/>
            </w:rPr>
            <w:t xml:space="preserve">Safety Information for the University of California, Berkeley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640" w:hRule="atLeast"/>
        <w:tblHeader w:val="0"/>
      </w:trPr>
      <w:tc>
        <w:tcPr>
          <w:gridSpan w:val="2"/>
          <w:shd w:fill="c4820e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C">
          <w:pPr>
            <w:pStyle w:val="Title"/>
            <w:pageBreakBefore w:val="0"/>
            <w:widowControl w:val="0"/>
            <w:spacing w:line="240" w:lineRule="auto"/>
            <w:jc w:val="left"/>
            <w:rPr>
              <w:sz w:val="2"/>
              <w:szCs w:val="2"/>
            </w:rPr>
          </w:pPr>
          <w:bookmarkStart w:colFirst="0" w:colLast="0" w:name="_nyrdec26efjx" w:id="6"/>
          <w:bookmarkEnd w:id="6"/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pStyle w:val="Title"/>
            <w:widowControl w:val="0"/>
            <w:ind w:left="360" w:firstLine="0"/>
            <w:rPr>
              <w:rFonts w:ascii="Libre Franklin" w:cs="Libre Franklin" w:eastAsia="Libre Franklin" w:hAnsi="Libre Franklin"/>
              <w:b w:val="1"/>
              <w:i w:val="1"/>
              <w:sz w:val="40"/>
              <w:szCs w:val="40"/>
            </w:rPr>
          </w:pPr>
          <w:bookmarkStart w:colFirst="0" w:colLast="0" w:name="_66z71ucjsqqx" w:id="7"/>
          <w:bookmarkEnd w:id="7"/>
          <w:r w:rsidDel="00000000" w:rsidR="00000000" w:rsidRPr="00000000">
            <w:rPr>
              <w:rFonts w:ascii="Open Sans SemiBold" w:cs="Open Sans SemiBold" w:eastAsia="Open Sans SemiBold" w:hAnsi="Open Sans SemiBold"/>
              <w:sz w:val="40"/>
              <w:szCs w:val="40"/>
              <w:rtl w:val="0"/>
            </w:rPr>
            <w:t xml:space="preserve">Monkeypox Illness Prevention - Custodial Services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F">
    <w:pPr>
      <w:pageBreakBefore w:val="0"/>
      <w:rPr>
        <w:sz w:val="8"/>
        <w:szCs w:val="8"/>
      </w:rPr>
    </w:pPr>
    <w:r w:rsidDel="00000000" w:rsidR="00000000" w:rsidRPr="00000000">
      <w:rPr>
        <w:rtl w:val="0"/>
      </w:rPr>
    </w:r>
  </w:p>
  <w:tbl>
    <w:tblPr>
      <w:tblStyle w:val="Table3"/>
      <w:tblW w:w="15825.0" w:type="dxa"/>
      <w:jc w:val="left"/>
      <w:tblInd w:w="215.99999999999997" w:type="pct"/>
      <w:tblBorders>
        <w:top w:color="eeeeee" w:space="0" w:sz="4" w:val="single"/>
        <w:left w:color="eeeeee" w:space="0" w:sz="4" w:val="single"/>
        <w:bottom w:color="eeeeee" w:space="0" w:sz="4" w:val="single"/>
        <w:right w:color="eeeeee" w:space="0" w:sz="4" w:val="single"/>
        <w:insideH w:color="eeeeee" w:space="0" w:sz="4" w:val="single"/>
        <w:insideV w:color="eeeeee" w:space="0" w:sz="4" w:val="single"/>
      </w:tblBorders>
      <w:tblLayout w:type="fixed"/>
      <w:tblLook w:val="0600"/>
    </w:tblPr>
    <w:tblGrid>
      <w:gridCol w:w="4020"/>
      <w:gridCol w:w="4875"/>
      <w:gridCol w:w="6930"/>
      <w:tblGridChange w:id="0">
        <w:tblGrid>
          <w:gridCol w:w="4020"/>
          <w:gridCol w:w="4875"/>
          <w:gridCol w:w="6930"/>
        </w:tblGrid>
      </w:tblGridChange>
    </w:tblGrid>
    <w:tr>
      <w:trPr>
        <w:cantSplit w:val="0"/>
        <w:trHeight w:val="431.99999999999994" w:hRule="atLeast"/>
        <w:tblHeader w:val="0"/>
      </w:trPr>
      <w:tc>
        <w:tcPr>
          <w:tcBorders>
            <w:top w:color="eeeeee" w:space="0" w:sz="4" w:val="single"/>
            <w:left w:color="eeeeee" w:space="0" w:sz="4" w:val="single"/>
            <w:bottom w:color="eeeeee" w:space="0" w:sz="4" w:val="single"/>
            <w:right w:color="eeeeee" w:space="0" w:sz="4" w:val="single"/>
          </w:tcBorders>
          <w:shd w:fill="3b7ea1" w:val="clear"/>
          <w:tcMar>
            <w:top w:w="215.99999999999997" w:type="dxa"/>
            <w:left w:w="215.99999999999997" w:type="dxa"/>
            <w:bottom w:w="215.99999999999997" w:type="dxa"/>
            <w:right w:w="215.99999999999997" w:type="dxa"/>
          </w:tcMar>
          <w:vAlign w:val="top"/>
        </w:tcPr>
        <w:p w:rsidR="00000000" w:rsidDel="00000000" w:rsidP="00000000" w:rsidRDefault="00000000" w:rsidRPr="00000000" w14:paraId="00000040">
          <w:pPr>
            <w:pStyle w:val="Heading3"/>
            <w:pageBreakBefore w:val="0"/>
            <w:ind w:left="360" w:firstLine="0"/>
            <w:jc w:val="left"/>
            <w:rPr>
              <w:color w:val="ffffff"/>
              <w:sz w:val="18"/>
              <w:szCs w:val="18"/>
            </w:rPr>
          </w:pPr>
          <w:bookmarkStart w:colFirst="0" w:colLast="0" w:name="_qejalevux8u0" w:id="8"/>
          <w:bookmarkEnd w:id="8"/>
          <w:r w:rsidDel="00000000" w:rsidR="00000000" w:rsidRPr="00000000">
            <w:rPr>
              <w:b w:val="1"/>
              <w:color w:val="ffffff"/>
              <w:rtl w:val="0"/>
            </w:rPr>
            <w:t xml:space="preserve">Task Description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eeeeee" w:space="0" w:sz="4" w:val="single"/>
            <w:left w:color="eeeeee" w:space="0" w:sz="4" w:val="single"/>
            <w:bottom w:color="eeeeee" w:space="0" w:sz="4" w:val="single"/>
            <w:right w:color="eeeeee" w:space="0" w:sz="4" w:val="single"/>
          </w:tcBorders>
          <w:shd w:fill="3b7ea1" w:val="clear"/>
          <w:tcMar>
            <w:top w:w="215.99999999999997" w:type="dxa"/>
            <w:left w:w="215.99999999999997" w:type="dxa"/>
            <w:bottom w:w="215.99999999999997" w:type="dxa"/>
            <w:right w:w="215.99999999999997" w:type="dxa"/>
          </w:tcMar>
          <w:vAlign w:val="top"/>
        </w:tcPr>
        <w:p w:rsidR="00000000" w:rsidDel="00000000" w:rsidP="00000000" w:rsidRDefault="00000000" w:rsidRPr="00000000" w14:paraId="00000041">
          <w:pPr>
            <w:pStyle w:val="Heading3"/>
            <w:pageBreakBefore w:val="0"/>
            <w:spacing w:before="240" w:lineRule="auto"/>
            <w:ind w:left="270" w:firstLine="0"/>
            <w:jc w:val="left"/>
            <w:rPr>
              <w:b w:val="1"/>
              <w:color w:val="ffffff"/>
            </w:rPr>
          </w:pPr>
          <w:bookmarkStart w:colFirst="0" w:colLast="0" w:name="_uqv6lrpuvip9" w:id="9"/>
          <w:bookmarkEnd w:id="9"/>
          <w:r w:rsidDel="00000000" w:rsidR="00000000" w:rsidRPr="00000000">
            <w:rPr>
              <w:b w:val="1"/>
              <w:color w:val="ffffff"/>
              <w:rtl w:val="0"/>
            </w:rPr>
            <w:t xml:space="preserve">Associated Hazards</w:t>
          </w:r>
        </w:p>
      </w:tc>
      <w:tc>
        <w:tcPr>
          <w:tcBorders>
            <w:top w:color="eeeeee" w:space="0" w:sz="4" w:val="single"/>
            <w:left w:color="eeeeee" w:space="0" w:sz="4" w:val="single"/>
            <w:bottom w:color="eeeeee" w:space="0" w:sz="4" w:val="single"/>
            <w:right w:color="eeeeee" w:space="0" w:sz="4" w:val="single"/>
          </w:tcBorders>
          <w:shd w:fill="3b7ea1" w:val="clear"/>
          <w:tcMar>
            <w:top w:w="215.99999999999997" w:type="dxa"/>
            <w:left w:w="215.99999999999997" w:type="dxa"/>
            <w:bottom w:w="215.99999999999997" w:type="dxa"/>
            <w:right w:w="215.99999999999997" w:type="dxa"/>
          </w:tcMar>
          <w:vAlign w:val="top"/>
        </w:tcPr>
        <w:p w:rsidR="00000000" w:rsidDel="00000000" w:rsidP="00000000" w:rsidRDefault="00000000" w:rsidRPr="00000000" w14:paraId="00000042">
          <w:pPr>
            <w:pStyle w:val="Heading3"/>
            <w:pageBreakBefore w:val="0"/>
            <w:spacing w:before="240" w:lineRule="auto"/>
            <w:ind w:left="270" w:firstLine="0"/>
            <w:jc w:val="left"/>
            <w:rPr>
              <w:b w:val="1"/>
              <w:color w:val="ffffff"/>
            </w:rPr>
          </w:pPr>
          <w:bookmarkStart w:colFirst="0" w:colLast="0" w:name="_qyvd9b6y2n4z" w:id="10"/>
          <w:bookmarkEnd w:id="10"/>
          <w:r w:rsidDel="00000000" w:rsidR="00000000" w:rsidRPr="00000000">
            <w:rPr>
              <w:b w:val="1"/>
              <w:color w:val="ffffff"/>
              <w:rtl w:val="0"/>
            </w:rPr>
            <w:t xml:space="preserve">Types of Controls</w:t>
          </w:r>
        </w:p>
      </w:tc>
    </w:tr>
  </w:tbl>
  <w:p w:rsidR="00000000" w:rsidDel="00000000" w:rsidP="00000000" w:rsidRDefault="00000000" w:rsidRPr="00000000" w14:paraId="00000043">
    <w:pPr>
      <w:pStyle w:val="Heading1"/>
      <w:pageBreakBefore w:val="0"/>
      <w:spacing w:before="0" w:lineRule="auto"/>
      <w:rPr>
        <w:sz w:val="2"/>
        <w:szCs w:val="2"/>
      </w:rPr>
    </w:pPr>
    <w:bookmarkStart w:colFirst="0" w:colLast="0" w:name="_xyb2f0pmxixm" w:id="11"/>
    <w:bookmarkEnd w:id="11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4"/>
      <w:tblW w:w="15825.0" w:type="dxa"/>
      <w:jc w:val="left"/>
      <w:tblInd w:w="100.0" w:type="pct"/>
      <w:tblLayout w:type="fixed"/>
      <w:tblLook w:val="0600"/>
    </w:tblPr>
    <w:tblGrid>
      <w:gridCol w:w="8625"/>
      <w:gridCol w:w="7200"/>
      <w:tblGridChange w:id="0">
        <w:tblGrid>
          <w:gridCol w:w="8625"/>
          <w:gridCol w:w="7200"/>
        </w:tblGrid>
      </w:tblGridChange>
    </w:tblGrid>
    <w:tr>
      <w:trPr>
        <w:cantSplit w:val="0"/>
        <w:trHeight w:val="1875" w:hRule="atLeast"/>
        <w:tblHeader w:val="0"/>
      </w:trPr>
      <w:tc>
        <w:tcPr>
          <w:gridSpan w:val="2"/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003262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7">
          <w:pPr>
            <w:pageBreakBefore w:val="0"/>
            <w:widowControl w:val="0"/>
            <w:spacing w:before="280" w:line="240" w:lineRule="auto"/>
            <w:ind w:left="450" w:firstLine="0"/>
            <w:rPr>
              <w:rFonts w:ascii="Open Sans" w:cs="Open Sans" w:eastAsia="Open Sans" w:hAnsi="Open Sans"/>
              <w:color w:val="ffffff"/>
              <w:sz w:val="78"/>
              <w:szCs w:val="78"/>
            </w:rPr>
          </w:pPr>
          <w:r w:rsidDel="00000000" w:rsidR="00000000" w:rsidRPr="00000000">
            <w:rPr>
              <w:rFonts w:ascii="Open Sans" w:cs="Open Sans" w:eastAsia="Open Sans" w:hAnsi="Open Sans"/>
              <w:color w:val="ffffff"/>
              <w:sz w:val="78"/>
              <w:szCs w:val="78"/>
              <w:rtl w:val="0"/>
            </w:rPr>
            <w:t xml:space="preserve">Job Safety Analysis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238125</wp:posOffset>
                </wp:positionV>
                <wp:extent cx="3140670" cy="700088"/>
                <wp:effectExtent b="0" l="0" r="0" t="0"/>
                <wp:wrapSquare wrapText="bothSides" distB="114300" distT="114300" distL="114300" distR="11430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0670" cy="7000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48">
          <w:pPr>
            <w:pageBreakBefore w:val="0"/>
            <w:widowControl w:val="0"/>
            <w:spacing w:before="120" w:line="240" w:lineRule="auto"/>
            <w:ind w:left="810" w:hanging="90"/>
            <w:rPr>
              <w:rFonts w:ascii="Open Sans" w:cs="Open Sans" w:eastAsia="Open Sans" w:hAnsi="Open Sans"/>
              <w:i w:val="1"/>
              <w:color w:val="ffffff"/>
              <w:sz w:val="82"/>
              <w:szCs w:val="82"/>
            </w:rPr>
          </w:pPr>
          <w:r w:rsidDel="00000000" w:rsidR="00000000" w:rsidRPr="00000000">
            <w:rPr>
              <w:i w:val="1"/>
              <w:color w:val="ffffff"/>
              <w:rtl w:val="0"/>
            </w:rPr>
            <w:t xml:space="preserve">Safety Information for the University of California, Berkeley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640" w:hRule="atLeast"/>
        <w:tblHeader w:val="0"/>
      </w:trPr>
      <w:tc>
        <w:tcPr>
          <w:gridSpan w:val="2"/>
          <w:tcBorders>
            <w:top w:color="000000" w:space="0" w:sz="0" w:val="nil"/>
          </w:tcBorders>
          <w:shd w:fill="c4820e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A">
          <w:pPr>
            <w:pStyle w:val="Title"/>
            <w:pageBreakBefore w:val="0"/>
            <w:widowControl w:val="0"/>
            <w:rPr>
              <w:rFonts w:ascii="Open Sans Light" w:cs="Open Sans Light" w:eastAsia="Open Sans Light" w:hAnsi="Open Sans Light"/>
              <w:sz w:val="2"/>
              <w:szCs w:val="2"/>
            </w:rPr>
          </w:pPr>
          <w:bookmarkStart w:colFirst="0" w:colLast="0" w:name="_83adl5xp1u4" w:id="12"/>
          <w:bookmarkEnd w:id="12"/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pStyle w:val="Title"/>
            <w:pageBreakBefore w:val="0"/>
            <w:widowControl w:val="0"/>
            <w:ind w:left="360" w:firstLine="0"/>
            <w:rPr>
              <w:rFonts w:ascii="Open Sans SemiBold" w:cs="Open Sans SemiBold" w:eastAsia="Open Sans SemiBold" w:hAnsi="Open Sans SemiBold"/>
              <w:i w:val="1"/>
              <w:sz w:val="40"/>
              <w:szCs w:val="40"/>
            </w:rPr>
          </w:pPr>
          <w:bookmarkStart w:colFirst="0" w:colLast="0" w:name="_9vm044etrbq9" w:id="13"/>
          <w:bookmarkEnd w:id="13"/>
          <w:r w:rsidDel="00000000" w:rsidR="00000000" w:rsidRPr="00000000">
            <w:rPr>
              <w:rFonts w:ascii="Open Sans SemiBold" w:cs="Open Sans SemiBold" w:eastAsia="Open Sans SemiBold" w:hAnsi="Open Sans SemiBold"/>
              <w:sz w:val="40"/>
              <w:szCs w:val="40"/>
              <w:rtl w:val="0"/>
            </w:rPr>
            <w:t xml:space="preserve">Monkeypox Illness Prevention - Housing Custodial Services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D">
    <w:pPr>
      <w:pageBreakBefore w:val="0"/>
      <w:spacing w:before="180" w:lineRule="auto"/>
      <w:ind w:left="0" w:firstLine="0"/>
      <w:rPr>
        <w:color w:val="003262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80" w:lineRule="auto"/>
      <w:ind w:left="450" w:firstLine="0"/>
    </w:pPr>
    <w:rPr>
      <w:rFonts w:ascii="Libre Franklin Medium" w:cs="Libre Franklin Medium" w:eastAsia="Libre Franklin Medium" w:hAnsi="Libre Franklin Medium"/>
      <w:b w:val="1"/>
      <w:color w:val="073763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Libre Franklin" w:cs="Libre Franklin" w:eastAsia="Libre Franklin" w:hAnsi="Libre Franklin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Rule="auto"/>
      <w:ind w:left="450" w:firstLine="0"/>
    </w:pPr>
    <w:rPr>
      <w:rFonts w:ascii="Libre Franklin Medium" w:cs="Libre Franklin Medium" w:eastAsia="Libre Franklin Medium" w:hAnsi="Libre Franklin Medium"/>
      <w:color w:val="0737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Libre Franklin Light" w:cs="Libre Franklin Light" w:eastAsia="Libre Franklin Light" w:hAnsi="Libre Franklin Light"/>
      <w:color w:val="ffffff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ww.epa.gov/pesticide-registration/disinfectants-emerging-viral-pathogens-evps-list-q" TargetMode="Externa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uhs.berkeley.edu/monkeypox-information" TargetMode="External"/><Relationship Id="rId7" Type="http://schemas.openxmlformats.org/officeDocument/2006/relationships/hyperlink" Target="https://www.cdc.gov/poxvirus/monkeypox/index.html" TargetMode="External"/><Relationship Id="rId8" Type="http://schemas.openxmlformats.org/officeDocument/2006/relationships/hyperlink" Target="https://www.epa.gov/pesticide-registration/disinfectants-emerging-viral-pathogens-evps-list-q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boldItalic.ttf"/><Relationship Id="rId11" Type="http://schemas.openxmlformats.org/officeDocument/2006/relationships/font" Target="fonts/OpenSansSemiBold-italic.ttf"/><Relationship Id="rId22" Type="http://schemas.openxmlformats.org/officeDocument/2006/relationships/font" Target="fonts/OpenSans-bold.ttf"/><Relationship Id="rId10" Type="http://schemas.openxmlformats.org/officeDocument/2006/relationships/font" Target="fonts/OpenSansSemiBold-bold.ttf"/><Relationship Id="rId21" Type="http://schemas.openxmlformats.org/officeDocument/2006/relationships/font" Target="fonts/OpenSans-regular.ttf"/><Relationship Id="rId13" Type="http://schemas.openxmlformats.org/officeDocument/2006/relationships/font" Target="fonts/LibreFranklinMedium-regular.ttf"/><Relationship Id="rId24" Type="http://schemas.openxmlformats.org/officeDocument/2006/relationships/font" Target="fonts/OpenSans-boldItalic.ttf"/><Relationship Id="rId12" Type="http://schemas.openxmlformats.org/officeDocument/2006/relationships/font" Target="fonts/OpenSansSemiBold-boldItalic.ttf"/><Relationship Id="rId23" Type="http://schemas.openxmlformats.org/officeDocument/2006/relationships/font" Target="fonts/OpenSans-italic.ttf"/><Relationship Id="rId1" Type="http://schemas.openxmlformats.org/officeDocument/2006/relationships/font" Target="fonts/LibreFranklinLight-regular.ttf"/><Relationship Id="rId2" Type="http://schemas.openxmlformats.org/officeDocument/2006/relationships/font" Target="fonts/LibreFranklinLight-bold.ttf"/><Relationship Id="rId3" Type="http://schemas.openxmlformats.org/officeDocument/2006/relationships/font" Target="fonts/LibreFranklinLight-italic.ttf"/><Relationship Id="rId4" Type="http://schemas.openxmlformats.org/officeDocument/2006/relationships/font" Target="fonts/LibreFranklinLight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LibreFranklinMedium-italic.ttf"/><Relationship Id="rId14" Type="http://schemas.openxmlformats.org/officeDocument/2006/relationships/font" Target="fonts/LibreFranklinMedium-bold.ttf"/><Relationship Id="rId17" Type="http://schemas.openxmlformats.org/officeDocument/2006/relationships/font" Target="fonts/OpenSansLight-regular.ttf"/><Relationship Id="rId16" Type="http://schemas.openxmlformats.org/officeDocument/2006/relationships/font" Target="fonts/LibreFranklinMedium-boldItalic.ttf"/><Relationship Id="rId5" Type="http://schemas.openxmlformats.org/officeDocument/2006/relationships/font" Target="fonts/LibreFranklin-regular.ttf"/><Relationship Id="rId19" Type="http://schemas.openxmlformats.org/officeDocument/2006/relationships/font" Target="fonts/OpenSansLight-italic.ttf"/><Relationship Id="rId6" Type="http://schemas.openxmlformats.org/officeDocument/2006/relationships/font" Target="fonts/LibreFranklin-bold.ttf"/><Relationship Id="rId18" Type="http://schemas.openxmlformats.org/officeDocument/2006/relationships/font" Target="fonts/OpenSansLight-bold.ttf"/><Relationship Id="rId7" Type="http://schemas.openxmlformats.org/officeDocument/2006/relationships/font" Target="fonts/LibreFranklin-italic.ttf"/><Relationship Id="rId8" Type="http://schemas.openxmlformats.org/officeDocument/2006/relationships/font" Target="fonts/LibreFrankl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