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B9D6" w14:textId="69654786" w:rsidR="006F7E4C" w:rsidRPr="00AC7C34" w:rsidRDefault="006F7E4C" w:rsidP="00AC7C34">
      <w:pPr>
        <w:pStyle w:val="Heading1"/>
        <w:rPr>
          <w:rStyle w:val="cf01"/>
          <w:rFonts w:ascii="Arial" w:hAnsi="Arial" w:cs="Arial"/>
          <w:sz w:val="28"/>
          <w:szCs w:val="28"/>
        </w:rPr>
      </w:pPr>
      <w:r w:rsidRPr="00AC7C34">
        <w:rPr>
          <w:rStyle w:val="cf01"/>
          <w:rFonts w:ascii="Arial" w:hAnsi="Arial" w:cs="Arial"/>
          <w:sz w:val="28"/>
          <w:szCs w:val="28"/>
        </w:rPr>
        <w:t xml:space="preserve">Common Biosafety </w:t>
      </w:r>
      <w:r w:rsidRPr="00AC7C34">
        <w:t>Practices</w:t>
      </w:r>
    </w:p>
    <w:p w14:paraId="12BEA3D2" w14:textId="77777777" w:rsidR="00AC7C34" w:rsidRPr="00AC7C34" w:rsidRDefault="006F7E4C" w:rsidP="00AC7C34">
      <w:pPr>
        <w:pStyle w:val="Heading2"/>
        <w:rPr>
          <w:rStyle w:val="cf01"/>
          <w:rFonts w:ascii="Arial" w:hAnsi="Arial" w:cs="Arial"/>
          <w:sz w:val="20"/>
          <w:szCs w:val="20"/>
        </w:rPr>
      </w:pPr>
      <w:r w:rsidRPr="00AC7C34">
        <w:rPr>
          <w:rStyle w:val="cf01"/>
          <w:rFonts w:ascii="Arial" w:hAnsi="Arial" w:cs="Arial"/>
          <w:sz w:val="20"/>
          <w:szCs w:val="20"/>
        </w:rPr>
        <w:t>General lab protocol</w:t>
      </w:r>
    </w:p>
    <w:p w14:paraId="0DDD8DD0" w14:textId="77777777" w:rsidR="00AC7C34" w:rsidRPr="00AC7C34" w:rsidRDefault="006F7E4C" w:rsidP="00AC7C34">
      <w:pPr>
        <w:pStyle w:val="pf0"/>
        <w:numPr>
          <w:ilvl w:val="0"/>
          <w:numId w:val="1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While in the lab, all must wear full-length leg coverings, closed toed shoes, and the appropriate PPE. </w:t>
      </w:r>
    </w:p>
    <w:p w14:paraId="239B2684" w14:textId="77777777" w:rsidR="00AC7C34" w:rsidRPr="00AC7C34" w:rsidRDefault="006F7E4C" w:rsidP="00AC7C34">
      <w:pPr>
        <w:pStyle w:val="pf0"/>
        <w:numPr>
          <w:ilvl w:val="0"/>
          <w:numId w:val="1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Guests must always be escorted by a trained lab member. </w:t>
      </w:r>
    </w:p>
    <w:p w14:paraId="27437680" w14:textId="77777777" w:rsidR="00AC7C34" w:rsidRPr="00AC7C34" w:rsidRDefault="006F7E4C" w:rsidP="00AC7C34">
      <w:pPr>
        <w:pStyle w:val="pf0"/>
        <w:numPr>
          <w:ilvl w:val="0"/>
          <w:numId w:val="1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No eating, drinking, or makeup in the lab. </w:t>
      </w:r>
    </w:p>
    <w:p w14:paraId="079216B2" w14:textId="12216C46" w:rsidR="006F7E4C" w:rsidRPr="00AC7C34" w:rsidRDefault="006F7E4C" w:rsidP="00AC7C34">
      <w:pPr>
        <w:pStyle w:val="pf0"/>
        <w:numPr>
          <w:ilvl w:val="0"/>
          <w:numId w:val="1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>All must wash hands prior to exiting the lab.</w:t>
      </w:r>
    </w:p>
    <w:p w14:paraId="78862C16" w14:textId="77777777" w:rsidR="00AC7C34" w:rsidRPr="00AC7C34" w:rsidRDefault="006F7E4C" w:rsidP="00AC7C34">
      <w:pPr>
        <w:pStyle w:val="Heading2"/>
        <w:rPr>
          <w:rStyle w:val="cf01"/>
          <w:rFonts w:ascii="Arial" w:hAnsi="Arial" w:cs="Arial"/>
          <w:b w:val="0"/>
          <w:bCs w:val="0"/>
          <w:sz w:val="20"/>
          <w:szCs w:val="20"/>
        </w:rPr>
      </w:pPr>
      <w:r w:rsidRPr="00AC7C34">
        <w:rPr>
          <w:rStyle w:val="cf01"/>
          <w:rFonts w:ascii="Arial" w:hAnsi="Arial" w:cs="Arial"/>
          <w:sz w:val="20"/>
          <w:szCs w:val="20"/>
        </w:rPr>
        <w:t>Sharps safety</w:t>
      </w:r>
    </w:p>
    <w:p w14:paraId="38E9F5D4" w14:textId="77777777" w:rsidR="00AC7C34" w:rsidRPr="00AC7C34" w:rsidRDefault="006F7E4C" w:rsidP="00AC7C34">
      <w:pPr>
        <w:pStyle w:val="pf0"/>
        <w:numPr>
          <w:ilvl w:val="0"/>
          <w:numId w:val="2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Safety engineered sharps, plastic blades, plastic Pasteur pipettes and similar alternatives are used whenever possible.  </w:t>
      </w:r>
    </w:p>
    <w:p w14:paraId="0D1FCC5C" w14:textId="77777777" w:rsidR="00AC7C34" w:rsidRPr="00AC7C34" w:rsidRDefault="006F7E4C" w:rsidP="00AC7C34">
      <w:pPr>
        <w:pStyle w:val="pf0"/>
        <w:numPr>
          <w:ilvl w:val="0"/>
          <w:numId w:val="2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Contaminated needles are not bent, recapped, or removed from syringes. </w:t>
      </w:r>
    </w:p>
    <w:p w14:paraId="5FF72823" w14:textId="77777777" w:rsidR="00AC7C34" w:rsidRPr="00AC7C34" w:rsidRDefault="006F7E4C" w:rsidP="00AC7C34">
      <w:pPr>
        <w:pStyle w:val="pf0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Contaminated sharps are disposed of in </w:t>
      </w:r>
      <w:r w:rsidRPr="00AC7C34">
        <w:rPr>
          <w:rFonts w:ascii="Arial" w:hAnsi="Arial" w:cs="Arial"/>
          <w:sz w:val="20"/>
          <w:szCs w:val="20"/>
        </w:rPr>
        <w:t xml:space="preserve">designated sharps containers that are puncture-resistant, leak-proof, and labeled for the intended use (e.g. needles are disposed of in a red biohazard, FDA-approved sharps container). </w:t>
      </w:r>
    </w:p>
    <w:p w14:paraId="4AB5AF6E" w14:textId="77777777" w:rsidR="00AC7C34" w:rsidRPr="00AC7C34" w:rsidRDefault="006F7E4C" w:rsidP="00AC7C34">
      <w:pPr>
        <w:pStyle w:val="pf0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C7C34">
        <w:rPr>
          <w:rFonts w:ascii="Arial" w:hAnsi="Arial" w:cs="Arial"/>
          <w:sz w:val="20"/>
          <w:szCs w:val="20"/>
        </w:rPr>
        <w:t xml:space="preserve">Seal and dispose of the container when &lt;75% full. NO sharps can be above the 75% fill line. </w:t>
      </w:r>
    </w:p>
    <w:p w14:paraId="2A481DC9" w14:textId="77777777" w:rsidR="00AC7C34" w:rsidRPr="00AC7C34" w:rsidRDefault="006F7E4C" w:rsidP="00AC7C34">
      <w:pPr>
        <w:pStyle w:val="pf0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C7C34">
        <w:rPr>
          <w:rFonts w:ascii="Arial" w:hAnsi="Arial" w:cs="Arial"/>
          <w:sz w:val="20"/>
          <w:szCs w:val="20"/>
        </w:rPr>
        <w:t xml:space="preserve">Sealed sharps containers are disposed of through the </w:t>
      </w:r>
      <w:hyperlink r:id="rId5" w:history="1">
        <w:r w:rsidRPr="00AC7C34">
          <w:rPr>
            <w:rFonts w:ascii="Arial" w:hAnsi="Arial" w:cs="Arial"/>
            <w:color w:val="0000FF"/>
            <w:sz w:val="20"/>
            <w:szCs w:val="20"/>
            <w:u w:val="single"/>
          </w:rPr>
          <w:t>Hazardous Waste Program</w:t>
        </w:r>
      </w:hyperlink>
      <w:r w:rsidRPr="00AC7C34">
        <w:rPr>
          <w:rFonts w:ascii="Arial" w:hAnsi="Arial" w:cs="Arial"/>
          <w:sz w:val="20"/>
          <w:szCs w:val="20"/>
        </w:rPr>
        <w:t xml:space="preserve"> directly or via the medical waste stream. </w:t>
      </w:r>
    </w:p>
    <w:p w14:paraId="0A7D56E0" w14:textId="3717E20F" w:rsidR="006F7E4C" w:rsidRPr="00AC7C34" w:rsidRDefault="006F7E4C" w:rsidP="00AC7C34">
      <w:pPr>
        <w:pStyle w:val="pf0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C7C34">
        <w:rPr>
          <w:rFonts w:ascii="Arial" w:hAnsi="Arial" w:cs="Arial"/>
          <w:sz w:val="20"/>
          <w:szCs w:val="20"/>
        </w:rPr>
        <w:t>Reusable sharps (knives, pins, tweezers, etc.) are cleaned following an approved protocol and stored in a sealable hard plastic container or placed in their protective covers immediately after use.</w:t>
      </w:r>
    </w:p>
    <w:p w14:paraId="5BFFE562" w14:textId="77777777" w:rsidR="00AC7C34" w:rsidRPr="00AC7C34" w:rsidRDefault="006F7E4C" w:rsidP="00AC7C34">
      <w:pPr>
        <w:pStyle w:val="Heading2"/>
        <w:rPr>
          <w:rStyle w:val="cf01"/>
          <w:rFonts w:ascii="Arial" w:hAnsi="Arial" w:cs="Arial"/>
          <w:b w:val="0"/>
          <w:bCs w:val="0"/>
          <w:sz w:val="20"/>
          <w:szCs w:val="20"/>
        </w:rPr>
      </w:pPr>
      <w:r w:rsidRPr="00AC7C34">
        <w:rPr>
          <w:sz w:val="20"/>
          <w:szCs w:val="20"/>
        </w:rPr>
        <w:t>Spill Clean</w:t>
      </w:r>
      <w:r w:rsidRPr="00AC7C34">
        <w:rPr>
          <w:rStyle w:val="cf01"/>
          <w:rFonts w:ascii="Arial" w:hAnsi="Arial" w:cs="Arial"/>
          <w:sz w:val="20"/>
          <w:szCs w:val="20"/>
        </w:rPr>
        <w:t>-up</w:t>
      </w:r>
    </w:p>
    <w:p w14:paraId="5DFAACAC" w14:textId="77777777" w:rsidR="00AC7C34" w:rsidRPr="00AC7C34" w:rsidRDefault="006F7E4C" w:rsidP="006F7E4C">
      <w:pPr>
        <w:pStyle w:val="pf0"/>
        <w:ind w:left="0"/>
        <w:rPr>
          <w:rStyle w:val="cf01"/>
          <w:rFonts w:ascii="Arial" w:eastAsiaTheme="majorEastAsia" w:hAnsi="Arial" w:cs="Arial"/>
          <w:i/>
          <w:iCs/>
          <w:sz w:val="20"/>
          <w:szCs w:val="20"/>
        </w:rPr>
      </w:pPr>
      <w:r w:rsidRPr="00AC7C34">
        <w:rPr>
          <w:rStyle w:val="cf21"/>
          <w:rFonts w:ascii="Arial" w:eastAsiaTheme="majorEastAsia" w:hAnsi="Arial" w:cs="Arial"/>
          <w:sz w:val="20"/>
          <w:szCs w:val="20"/>
        </w:rPr>
        <w:t xml:space="preserve">Immediately report the incident to the laboratory manager or PI. Additionally, the biosafety program staff must be notified within 8 working hours (for labs) or 4 working hours (for companies) by sending an email to </w:t>
      </w:r>
      <w:hyperlink r:id="rId6" w:history="1">
        <w:r w:rsidRPr="00AC7C34">
          <w:rPr>
            <w:rStyle w:val="cf31"/>
            <w:rFonts w:ascii="Arial" w:eastAsiaTheme="majorEastAsia" w:hAnsi="Arial" w:cs="Arial"/>
            <w:color w:val="0000FF"/>
            <w:sz w:val="20"/>
            <w:szCs w:val="20"/>
            <w:u w:val="single"/>
          </w:rPr>
          <w:t>bso@berkeley.edu</w:t>
        </w:r>
      </w:hyperlink>
      <w:r w:rsidRPr="00AC7C34">
        <w:rPr>
          <w:rStyle w:val="cf21"/>
          <w:rFonts w:ascii="Arial" w:eastAsiaTheme="majorEastAsia" w:hAnsi="Arial" w:cs="Arial"/>
          <w:sz w:val="20"/>
          <w:szCs w:val="20"/>
        </w:rPr>
        <w:t>.</w:t>
      </w:r>
      <w:r w:rsidRPr="00AC7C34">
        <w:rPr>
          <w:rStyle w:val="cf01"/>
          <w:rFonts w:ascii="Arial" w:eastAsiaTheme="majorEastAsia" w:hAnsi="Arial" w:cs="Arial"/>
          <w:i/>
          <w:iCs/>
          <w:sz w:val="20"/>
          <w:szCs w:val="20"/>
        </w:rPr>
        <w:t xml:space="preserve"> </w:t>
      </w:r>
    </w:p>
    <w:p w14:paraId="65A54BAE" w14:textId="6418DEFE" w:rsidR="00AC7C34" w:rsidRPr="00AC7C34" w:rsidRDefault="006F7E4C" w:rsidP="00AC7C34">
      <w:pPr>
        <w:pStyle w:val="pf0"/>
        <w:numPr>
          <w:ilvl w:val="0"/>
          <w:numId w:val="4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Ensure that any other people in the vicinity are notified that a spill has occurred and that the area should be avoided. </w:t>
      </w:r>
    </w:p>
    <w:p w14:paraId="57AF10B0" w14:textId="181B9F83" w:rsidR="00AC7C34" w:rsidRPr="00AC7C34" w:rsidRDefault="006F7E4C" w:rsidP="00AC7C34">
      <w:pPr>
        <w:pStyle w:val="pf0"/>
        <w:numPr>
          <w:ilvl w:val="0"/>
          <w:numId w:val="4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Don appropriate protective clothing (lab coat, gloves, eye protection). </w:t>
      </w:r>
    </w:p>
    <w:p w14:paraId="5337DC8C" w14:textId="76C32A58" w:rsidR="00AC7C34" w:rsidRPr="00AC7C34" w:rsidRDefault="006F7E4C" w:rsidP="00AC7C34">
      <w:pPr>
        <w:pStyle w:val="pf0"/>
        <w:numPr>
          <w:ilvl w:val="0"/>
          <w:numId w:val="4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Cover the spill with absorbent material, such as towels or paper wipes. </w:t>
      </w:r>
    </w:p>
    <w:p w14:paraId="3813F7F4" w14:textId="383C764B" w:rsidR="00AC7C34" w:rsidRPr="00AC7C34" w:rsidRDefault="006F7E4C" w:rsidP="00AC7C34">
      <w:pPr>
        <w:pStyle w:val="pf0"/>
        <w:numPr>
          <w:ilvl w:val="0"/>
          <w:numId w:val="4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Carefully pour an effective disinfectant such as freshly made 10% bleach first around the edges of the spill, then onto the spill. Avoid splashing or generating aerosols. </w:t>
      </w:r>
    </w:p>
    <w:p w14:paraId="5ECE3D40" w14:textId="0292EC8C" w:rsidR="00AC7C34" w:rsidRPr="00AC7C34" w:rsidRDefault="006F7E4C" w:rsidP="00AC7C34">
      <w:pPr>
        <w:pStyle w:val="pf0"/>
        <w:numPr>
          <w:ilvl w:val="0"/>
          <w:numId w:val="4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Allow disinfectant to remain in contact with the spill for the manufacturer’s recommended contact time (20 minutes for 10% bleach). </w:t>
      </w:r>
    </w:p>
    <w:p w14:paraId="01F63C5A" w14:textId="59896D68" w:rsidR="00AC7C34" w:rsidRPr="00AC7C34" w:rsidRDefault="006F7E4C" w:rsidP="00AC7C34">
      <w:pPr>
        <w:pStyle w:val="pf0"/>
        <w:numPr>
          <w:ilvl w:val="0"/>
          <w:numId w:val="4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Carefully pick up any broken sharp material using either tongs or a dustpan. </w:t>
      </w:r>
    </w:p>
    <w:p w14:paraId="6FCAF07C" w14:textId="0837119E" w:rsidR="00AC7C34" w:rsidRPr="00AC7C34" w:rsidRDefault="006F7E4C" w:rsidP="00AC7C34">
      <w:pPr>
        <w:pStyle w:val="pf0"/>
        <w:numPr>
          <w:ilvl w:val="0"/>
          <w:numId w:val="4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Work concentrically to clean up the absorbent material. Always work from the outer edge of the spill toward the center. </w:t>
      </w:r>
    </w:p>
    <w:p w14:paraId="4B2088DE" w14:textId="43AB94EB" w:rsidR="00AC7C34" w:rsidRPr="00AC7C34" w:rsidRDefault="006F7E4C" w:rsidP="00AC7C34">
      <w:pPr>
        <w:pStyle w:val="pf0"/>
        <w:numPr>
          <w:ilvl w:val="0"/>
          <w:numId w:val="4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Clean spill area with fresh towels soaked in disinfectant. </w:t>
      </w:r>
    </w:p>
    <w:p w14:paraId="4C2D5C3F" w14:textId="287CCFE4" w:rsidR="00AC7C34" w:rsidRPr="00AC7C34" w:rsidRDefault="006F7E4C" w:rsidP="00AC7C34">
      <w:pPr>
        <w:pStyle w:val="pf0"/>
        <w:numPr>
          <w:ilvl w:val="0"/>
          <w:numId w:val="4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Place all towels or absorbent materials into a) the trash if BSL1 or b) a designated container for biohazardous waste if BSL2. </w:t>
      </w:r>
    </w:p>
    <w:p w14:paraId="3184B238" w14:textId="57403378" w:rsidR="00AC7C34" w:rsidRPr="00AC7C34" w:rsidRDefault="006F7E4C" w:rsidP="00AC7C34">
      <w:pPr>
        <w:pStyle w:val="pf0"/>
        <w:numPr>
          <w:ilvl w:val="0"/>
          <w:numId w:val="4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Remove and, if needed, segregate protective clothing for disposal or cleaning. </w:t>
      </w:r>
    </w:p>
    <w:p w14:paraId="057A894C" w14:textId="55037409" w:rsidR="006F7E4C" w:rsidRPr="00AC7C34" w:rsidRDefault="006F7E4C" w:rsidP="00AC7C34">
      <w:pPr>
        <w:pStyle w:val="pf0"/>
        <w:numPr>
          <w:ilvl w:val="0"/>
          <w:numId w:val="4"/>
        </w:numPr>
        <w:rPr>
          <w:rStyle w:val="cf01"/>
          <w:rFonts w:ascii="Arial" w:eastAsiaTheme="majorEastAsia" w:hAnsi="Arial" w:cs="Arial"/>
          <w:i/>
          <w:iCs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Wash hands prior to leaving the area. </w:t>
      </w:r>
    </w:p>
    <w:p w14:paraId="6B18FEA6" w14:textId="77777777" w:rsidR="00AC7C34" w:rsidRPr="00AC7C34" w:rsidRDefault="006F7E4C" w:rsidP="00AC7C34">
      <w:pPr>
        <w:pStyle w:val="Heading2"/>
        <w:rPr>
          <w:rStyle w:val="cf01"/>
          <w:rFonts w:ascii="Arial" w:hAnsi="Arial" w:cs="Arial"/>
          <w:b w:val="0"/>
          <w:bCs w:val="0"/>
          <w:sz w:val="20"/>
          <w:szCs w:val="20"/>
        </w:rPr>
      </w:pPr>
      <w:r w:rsidRPr="00AC7C34">
        <w:rPr>
          <w:rStyle w:val="cf01"/>
          <w:rFonts w:ascii="Arial" w:hAnsi="Arial" w:cs="Arial"/>
          <w:sz w:val="20"/>
          <w:szCs w:val="20"/>
        </w:rPr>
        <w:t>Injuries or exposures</w:t>
      </w:r>
    </w:p>
    <w:p w14:paraId="645A1647" w14:textId="77777777" w:rsidR="00AC7C34" w:rsidRPr="00AC7C34" w:rsidRDefault="006F7E4C" w:rsidP="00AC7C34">
      <w:pPr>
        <w:pStyle w:val="pf0"/>
        <w:numPr>
          <w:ilvl w:val="0"/>
          <w:numId w:val="5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EH&amp;S biosafety program staff must be notified immediately in the case of injury/major incident 510-642-3073 or </w:t>
      </w:r>
      <w:hyperlink r:id="rId7" w:history="1">
        <w:r w:rsidRPr="00AC7C34">
          <w:rPr>
            <w:rStyle w:val="Hyperlink"/>
            <w:rFonts w:ascii="Arial" w:eastAsiaTheme="majorEastAsia" w:hAnsi="Arial" w:cs="Arial"/>
            <w:sz w:val="20"/>
            <w:szCs w:val="20"/>
          </w:rPr>
          <w:t>bso@berkeley.edu</w:t>
        </w:r>
      </w:hyperlink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. </w:t>
      </w:r>
    </w:p>
    <w:p w14:paraId="27377BE3" w14:textId="77777777" w:rsidR="00AC7C34" w:rsidRPr="00AC7C34" w:rsidRDefault="006F7E4C" w:rsidP="00AC7C34">
      <w:pPr>
        <w:pStyle w:val="pf0"/>
        <w:numPr>
          <w:ilvl w:val="0"/>
          <w:numId w:val="5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lastRenderedPageBreak/>
        <w:t xml:space="preserve">For academic labs (not associated with HHMI): in the event of an injury or exposure to a biological agent, the following are recommended for seeking medical attention. </w:t>
      </w:r>
    </w:p>
    <w:p w14:paraId="28885ED1" w14:textId="77777777" w:rsidR="00AC7C34" w:rsidRPr="00AC7C34" w:rsidRDefault="006F7E4C" w:rsidP="00AC7C34">
      <w:pPr>
        <w:pStyle w:val="pf0"/>
        <w:numPr>
          <w:ilvl w:val="0"/>
          <w:numId w:val="5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During business hours (Mon-Fri, 8am-5pm), please visit Urgent Care at the Tang Center. </w:t>
      </w:r>
    </w:p>
    <w:p w14:paraId="275268F1" w14:textId="77777777" w:rsidR="00AC7C34" w:rsidRPr="00AC7C34" w:rsidRDefault="006F7E4C" w:rsidP="00AC7C34">
      <w:pPr>
        <w:pStyle w:val="pf0"/>
        <w:numPr>
          <w:ilvl w:val="0"/>
          <w:numId w:val="5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If the injury or exposure occurs outside of business hours, please seek medical attention at Alta Bates Hospital and be sure to state that you were injured or exposed in a laboratory at UC Berkeley. </w:t>
      </w:r>
    </w:p>
    <w:p w14:paraId="0DA9A0E9" w14:textId="77777777" w:rsidR="00AC7C34" w:rsidRPr="00AC7C34" w:rsidRDefault="006F7E4C" w:rsidP="00AC7C34">
      <w:pPr>
        <w:pStyle w:val="pf0"/>
        <w:numPr>
          <w:ilvl w:val="0"/>
          <w:numId w:val="5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If you or someone else in the laboratory needs immediate medical attention, please call 911 from any campus phone. </w:t>
      </w:r>
    </w:p>
    <w:p w14:paraId="48F1EBBF" w14:textId="1F90B62D" w:rsidR="006F7E4C" w:rsidRPr="00AC7C34" w:rsidRDefault="006F7E4C" w:rsidP="00AC7C34">
      <w:pPr>
        <w:pStyle w:val="pf0"/>
        <w:numPr>
          <w:ilvl w:val="0"/>
          <w:numId w:val="5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sz w:val="20"/>
          <w:szCs w:val="20"/>
        </w:rPr>
        <w:t>If you are calling from a cell phone while on campus, call (510) 642-3333.</w:t>
      </w:r>
    </w:p>
    <w:p w14:paraId="03EDCEA4" w14:textId="77777777" w:rsidR="006F7E4C" w:rsidRPr="00AC7C34" w:rsidRDefault="006F7E4C" w:rsidP="00AC7C34">
      <w:pPr>
        <w:pStyle w:val="Heading2"/>
        <w:rPr>
          <w:rStyle w:val="cf01"/>
          <w:rFonts w:ascii="Arial" w:hAnsi="Arial" w:cs="Arial"/>
          <w:b w:val="0"/>
          <w:bCs w:val="0"/>
          <w:sz w:val="20"/>
          <w:szCs w:val="20"/>
        </w:rPr>
      </w:pPr>
      <w:r w:rsidRPr="00AC7C34">
        <w:rPr>
          <w:rStyle w:val="cf01"/>
          <w:rFonts w:ascii="Arial" w:hAnsi="Arial" w:cs="Arial"/>
          <w:sz w:val="20"/>
          <w:szCs w:val="20"/>
        </w:rPr>
        <w:t xml:space="preserve">BSL1 </w:t>
      </w:r>
    </w:p>
    <w:p w14:paraId="487DABE8" w14:textId="77777777" w:rsidR="00AC7C34" w:rsidRPr="00AC7C34" w:rsidRDefault="006F7E4C" w:rsidP="00AC7C34">
      <w:pPr>
        <w:pStyle w:val="pf0"/>
        <w:numPr>
          <w:ilvl w:val="0"/>
          <w:numId w:val="6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b/>
          <w:bCs/>
          <w:sz w:val="20"/>
          <w:szCs w:val="20"/>
        </w:rPr>
        <w:t>Transport of BSL1 material, recommendation:</w:t>
      </w: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 X is carried in an easily decontaminated, lidded, leak-proof, secondary container labeled with the lab’s name and contact information. </w:t>
      </w:r>
    </w:p>
    <w:p w14:paraId="5531CF1F" w14:textId="77777777" w:rsidR="00AC7C34" w:rsidRPr="00AC7C34" w:rsidRDefault="006F7E4C" w:rsidP="00AC7C34">
      <w:pPr>
        <w:pStyle w:val="pf0"/>
        <w:numPr>
          <w:ilvl w:val="0"/>
          <w:numId w:val="6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b/>
          <w:bCs/>
          <w:sz w:val="20"/>
          <w:szCs w:val="20"/>
        </w:rPr>
        <w:t xml:space="preserve">Surface disinfection: </w:t>
      </w: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Work surfaces are disinfected daily after use with an effective disinfectant (e.g. 70% ethanol). </w:t>
      </w:r>
    </w:p>
    <w:p w14:paraId="2456DF91" w14:textId="77777777" w:rsidR="00AC7C34" w:rsidRPr="00AC7C34" w:rsidRDefault="006F7E4C" w:rsidP="00AC7C34">
      <w:pPr>
        <w:pStyle w:val="pf0"/>
        <w:numPr>
          <w:ilvl w:val="0"/>
          <w:numId w:val="6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b/>
          <w:bCs/>
          <w:sz w:val="20"/>
          <w:szCs w:val="20"/>
        </w:rPr>
        <w:t>Liquid waste:</w:t>
      </w: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 Liquid waste that has been in contact with recombinant agents will be autoclaved and disposed of down the drain. </w:t>
      </w:r>
      <w:proofErr w:type="gramStart"/>
      <w:r w:rsidRPr="00AC7C34">
        <w:rPr>
          <w:rStyle w:val="cf01"/>
          <w:rFonts w:ascii="Arial" w:eastAsiaTheme="majorEastAsia" w:hAnsi="Arial" w:cs="Arial"/>
          <w:sz w:val="20"/>
          <w:szCs w:val="20"/>
        </w:rPr>
        <w:t>Or,</w:t>
      </w:r>
      <w:proofErr w:type="gramEnd"/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 it can be inactivated in 10% bleach (final concentration) for 20 minutes prior to drain disposal with a copious amount of water. </w:t>
      </w:r>
    </w:p>
    <w:p w14:paraId="22C5C88B" w14:textId="77777777" w:rsidR="00AC7C34" w:rsidRPr="00AC7C34" w:rsidRDefault="006F7E4C" w:rsidP="00AC7C34">
      <w:pPr>
        <w:pStyle w:val="pf0"/>
        <w:numPr>
          <w:ilvl w:val="0"/>
          <w:numId w:val="6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b/>
          <w:bCs/>
          <w:sz w:val="20"/>
          <w:szCs w:val="20"/>
        </w:rPr>
        <w:t>Solid waste:</w:t>
      </w: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 Solid waste will be disposed in white or transparent autoclavable bags, autoclaved (with a sterilization cycle of 30 minutes for most materials), then disposed of in the general waste stream. Soil must have a sterilization cycle of at least 60 minutes. </w:t>
      </w:r>
    </w:p>
    <w:p w14:paraId="551D0B4B" w14:textId="33CB8BFA" w:rsidR="006F7E4C" w:rsidRPr="00AC7C34" w:rsidRDefault="006F7E4C" w:rsidP="00AC7C34">
      <w:pPr>
        <w:pStyle w:val="pf0"/>
        <w:numPr>
          <w:ilvl w:val="0"/>
          <w:numId w:val="6"/>
        </w:numPr>
        <w:rPr>
          <w:rStyle w:val="cf01"/>
          <w:rFonts w:ascii="Arial" w:eastAsiaTheme="majorEastAsia" w:hAnsi="Arial" w:cs="Arial"/>
          <w:b/>
          <w:bCs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b/>
          <w:bCs/>
          <w:sz w:val="20"/>
          <w:szCs w:val="20"/>
        </w:rPr>
        <w:t>PPE:</w:t>
      </w: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 Lab coats are worn while in the lab and gloves are worn when working with any hazardous materials or agents. Eye +/- face protection is used whenever in lab spaces listed in the BUA.</w:t>
      </w:r>
    </w:p>
    <w:p w14:paraId="56473268" w14:textId="77777777" w:rsidR="006F7E4C" w:rsidRPr="00AC7C34" w:rsidRDefault="006F7E4C" w:rsidP="006F7E4C">
      <w:pPr>
        <w:pStyle w:val="pf0"/>
        <w:ind w:left="0"/>
        <w:rPr>
          <w:rStyle w:val="cf01"/>
          <w:rFonts w:ascii="Arial" w:eastAsiaTheme="majorEastAsia" w:hAnsi="Arial" w:cs="Arial"/>
          <w:b/>
          <w:bCs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b/>
          <w:bCs/>
          <w:sz w:val="20"/>
          <w:szCs w:val="20"/>
        </w:rPr>
        <w:t xml:space="preserve">BSL2 </w:t>
      </w:r>
    </w:p>
    <w:p w14:paraId="0E49BEF0" w14:textId="77777777" w:rsidR="00AC7C34" w:rsidRPr="00AC7C34" w:rsidRDefault="006F7E4C" w:rsidP="00AC7C34">
      <w:pPr>
        <w:pStyle w:val="pf0"/>
        <w:numPr>
          <w:ilvl w:val="0"/>
          <w:numId w:val="8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b/>
          <w:bCs/>
          <w:sz w:val="20"/>
          <w:szCs w:val="20"/>
        </w:rPr>
        <w:t>Transport of BSL2 (or BSL2+) material:</w:t>
      </w: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 X is carried in an easily decontaminated, lidded, leak-proof, secondary container labeled with a biohazard sticker, the lab’s name, and contact information. </w:t>
      </w:r>
    </w:p>
    <w:p w14:paraId="1FFCFE47" w14:textId="77777777" w:rsidR="00AC7C34" w:rsidRPr="00AC7C34" w:rsidRDefault="006F7E4C" w:rsidP="00AC7C34">
      <w:pPr>
        <w:pStyle w:val="pf0"/>
        <w:numPr>
          <w:ilvl w:val="0"/>
          <w:numId w:val="8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b/>
          <w:bCs/>
          <w:sz w:val="20"/>
          <w:szCs w:val="20"/>
        </w:rPr>
        <w:t xml:space="preserve">Surface disinfection: </w:t>
      </w: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Work surfaces are disinfected daily after use with an effective disinfectant (e.g. stabilized hydrogen peroxide wipes). </w:t>
      </w:r>
    </w:p>
    <w:p w14:paraId="52AA9A75" w14:textId="77777777" w:rsidR="00AC7C34" w:rsidRPr="00AC7C34" w:rsidRDefault="006F7E4C" w:rsidP="00AC7C34">
      <w:pPr>
        <w:pStyle w:val="pf0"/>
        <w:numPr>
          <w:ilvl w:val="0"/>
          <w:numId w:val="8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b/>
          <w:bCs/>
          <w:sz w:val="20"/>
          <w:szCs w:val="20"/>
        </w:rPr>
        <w:t>Liquid waste</w:t>
      </w: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: Liquid waste will be inactivated in 10% bleach (final concentration) for 20 minutes prior to drain disposal with a copious amount of water. </w:t>
      </w:r>
    </w:p>
    <w:p w14:paraId="3D149A72" w14:textId="77777777" w:rsidR="00AC7C34" w:rsidRPr="00AC7C34" w:rsidRDefault="006F7E4C" w:rsidP="00AC7C34">
      <w:pPr>
        <w:pStyle w:val="pf0"/>
        <w:numPr>
          <w:ilvl w:val="0"/>
          <w:numId w:val="8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b/>
          <w:bCs/>
          <w:sz w:val="20"/>
          <w:szCs w:val="20"/>
        </w:rPr>
        <w:t>Solid waste:</w:t>
      </w: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 Solid waste will be disposed of in red biohazard bags (meeting ASTD D1709 and ASTD D1922 standards) that line a rigid, lidded container. The bags will be transported to the biohazardous waste accumulation site in a rigid, leak-resistant, closed container weekly or when full, whichever is soonest. </w:t>
      </w:r>
    </w:p>
    <w:p w14:paraId="77F0450A" w14:textId="77777777" w:rsidR="00AC7C34" w:rsidRPr="00AC7C34" w:rsidRDefault="006F7E4C" w:rsidP="00AC7C34">
      <w:pPr>
        <w:pStyle w:val="pf0"/>
        <w:numPr>
          <w:ilvl w:val="0"/>
          <w:numId w:val="8"/>
        </w:numPr>
        <w:rPr>
          <w:rStyle w:val="cf01"/>
          <w:rFonts w:ascii="Arial" w:eastAsiaTheme="majorEastAsia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b/>
          <w:bCs/>
          <w:sz w:val="20"/>
          <w:szCs w:val="20"/>
        </w:rPr>
        <w:t>PPE:</w:t>
      </w: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 Spill resistant lab coats are worn in BSL2 spaces. Gloves are worn when working with any hazardous materials or agents. </w:t>
      </w:r>
      <w:bookmarkStart w:id="0" w:name="_Hlk166659178"/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Eye +/- face protection is used whenever in lab spaces listed in the BUA. </w:t>
      </w:r>
      <w:bookmarkEnd w:id="0"/>
    </w:p>
    <w:p w14:paraId="0465AAC8" w14:textId="5A75E573" w:rsidR="006F7E4C" w:rsidRPr="00AC7C34" w:rsidRDefault="006F7E4C" w:rsidP="00AC7C34">
      <w:pPr>
        <w:pStyle w:val="pf0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b/>
          <w:bCs/>
          <w:sz w:val="20"/>
          <w:szCs w:val="20"/>
        </w:rPr>
        <w:t>Work practices:</w:t>
      </w: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 Work is done at a biosafety cabinet (BSC), and all containers are surface disinfected prior to removal from the BSC. Centrifuge rotors or buckets are loaded and unloaded in the BSC.</w:t>
      </w:r>
    </w:p>
    <w:p w14:paraId="4B557CD1" w14:textId="5BB44ED1" w:rsidR="006F7E4C" w:rsidRPr="00AC7C34" w:rsidRDefault="006F7E4C" w:rsidP="00AC7C34">
      <w:pPr>
        <w:pStyle w:val="Heading2"/>
        <w:rPr>
          <w:sz w:val="20"/>
          <w:szCs w:val="20"/>
        </w:rPr>
      </w:pPr>
      <w:r w:rsidRPr="00AC7C34">
        <w:rPr>
          <w:sz w:val="20"/>
          <w:szCs w:val="20"/>
        </w:rPr>
        <w:t xml:space="preserve">Other potential things to </w:t>
      </w:r>
      <w:proofErr w:type="gramStart"/>
      <w:r w:rsidRPr="00AC7C34">
        <w:rPr>
          <w:sz w:val="20"/>
          <w:szCs w:val="20"/>
        </w:rPr>
        <w:t>include:</w:t>
      </w:r>
      <w:r w:rsidR="00AC7C34" w:rsidRPr="00AC7C34">
        <w:rPr>
          <w:sz w:val="20"/>
          <w:szCs w:val="20"/>
        </w:rPr>
        <w:t>\</w:t>
      </w:r>
      <w:proofErr w:type="gramEnd"/>
    </w:p>
    <w:p w14:paraId="1FB9F54D" w14:textId="0F940BF0" w:rsidR="00AC7C34" w:rsidRPr="00AC7C34" w:rsidRDefault="006F7E4C" w:rsidP="00AC7C3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C7C34">
        <w:rPr>
          <w:rStyle w:val="cf01"/>
          <w:rFonts w:ascii="Arial" w:eastAsiaTheme="majorEastAsia" w:hAnsi="Arial" w:cs="Arial"/>
          <w:b/>
          <w:bCs/>
          <w:sz w:val="20"/>
          <w:szCs w:val="20"/>
        </w:rPr>
        <w:t>AAV in rodents:</w:t>
      </w:r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 Animals injected with AAV may be immediately returned to standard ABSL1 </w:t>
      </w:r>
      <w:proofErr w:type="gramStart"/>
      <w:r w:rsidRPr="00AC7C34">
        <w:rPr>
          <w:rStyle w:val="cf01"/>
          <w:rFonts w:ascii="Arial" w:eastAsiaTheme="majorEastAsia" w:hAnsi="Arial" w:cs="Arial"/>
          <w:sz w:val="20"/>
          <w:szCs w:val="20"/>
        </w:rPr>
        <w:t>housing</w:t>
      </w:r>
      <w:proofErr w:type="gramEnd"/>
      <w:r w:rsidRPr="00AC7C34">
        <w:rPr>
          <w:rStyle w:val="cf01"/>
          <w:rFonts w:ascii="Arial" w:eastAsiaTheme="majorEastAsia" w:hAnsi="Arial" w:cs="Arial"/>
          <w:sz w:val="20"/>
          <w:szCs w:val="20"/>
        </w:rPr>
        <w:t xml:space="preserve"> but the cage card (obtained from OLAC) must be labeled to indicate the agent, date of administration, and contact information. Due to viral shedding, </w:t>
      </w:r>
      <w:r w:rsidRPr="00AC7C34">
        <w:rPr>
          <w:rFonts w:ascii="Arial" w:hAnsi="Arial" w:cs="Arial"/>
          <w:sz w:val="20"/>
          <w:szCs w:val="20"/>
        </w:rPr>
        <w:t xml:space="preserve">the cage should have an “OLAC, </w:t>
      </w:r>
      <w:proofErr w:type="gramStart"/>
      <w:r w:rsidRPr="00AC7C34">
        <w:rPr>
          <w:rFonts w:ascii="Arial" w:hAnsi="Arial" w:cs="Arial"/>
          <w:sz w:val="20"/>
          <w:szCs w:val="20"/>
        </w:rPr>
        <w:t>Do</w:t>
      </w:r>
      <w:proofErr w:type="gramEnd"/>
      <w:r w:rsidRPr="00AC7C34">
        <w:rPr>
          <w:rFonts w:ascii="Arial" w:hAnsi="Arial" w:cs="Arial"/>
          <w:sz w:val="20"/>
          <w:szCs w:val="20"/>
        </w:rPr>
        <w:t xml:space="preserve"> not open” cage card for the first 72 hours. Lab personnel are responsible for animal care during that time and up through the first cage change after the 72 hrs. </w:t>
      </w:r>
    </w:p>
    <w:sectPr w:rsidR="00AC7C34" w:rsidRPr="00AC7C34" w:rsidSect="006F7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601"/>
    <w:multiLevelType w:val="hybridMultilevel"/>
    <w:tmpl w:val="EAD0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769F"/>
    <w:multiLevelType w:val="hybridMultilevel"/>
    <w:tmpl w:val="142A0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709C"/>
    <w:multiLevelType w:val="hybridMultilevel"/>
    <w:tmpl w:val="B7249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C3CEC"/>
    <w:multiLevelType w:val="hybridMultilevel"/>
    <w:tmpl w:val="D35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B0F19"/>
    <w:multiLevelType w:val="hybridMultilevel"/>
    <w:tmpl w:val="D86C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039A3"/>
    <w:multiLevelType w:val="hybridMultilevel"/>
    <w:tmpl w:val="D31EA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956F4"/>
    <w:multiLevelType w:val="hybridMultilevel"/>
    <w:tmpl w:val="5CC43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51DEE"/>
    <w:multiLevelType w:val="hybridMultilevel"/>
    <w:tmpl w:val="EDF42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550392">
    <w:abstractNumId w:val="2"/>
  </w:num>
  <w:num w:numId="2" w16cid:durableId="488063446">
    <w:abstractNumId w:val="0"/>
  </w:num>
  <w:num w:numId="3" w16cid:durableId="488405363">
    <w:abstractNumId w:val="7"/>
  </w:num>
  <w:num w:numId="4" w16cid:durableId="310251554">
    <w:abstractNumId w:val="6"/>
  </w:num>
  <w:num w:numId="5" w16cid:durableId="84039453">
    <w:abstractNumId w:val="4"/>
  </w:num>
  <w:num w:numId="6" w16cid:durableId="1516067219">
    <w:abstractNumId w:val="3"/>
  </w:num>
  <w:num w:numId="7" w16cid:durableId="1363091012">
    <w:abstractNumId w:val="5"/>
  </w:num>
  <w:num w:numId="8" w16cid:durableId="64652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4C"/>
    <w:rsid w:val="003B7B6A"/>
    <w:rsid w:val="006F7E4C"/>
    <w:rsid w:val="0099087C"/>
    <w:rsid w:val="00AC7C34"/>
    <w:rsid w:val="00C0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694A"/>
  <w15:chartTrackingRefBased/>
  <w15:docId w15:val="{3C136E04-31F2-4095-B208-1BEDE08E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E4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styleId="Heading1">
    <w:name w:val="heading 1"/>
    <w:basedOn w:val="pf0"/>
    <w:next w:val="Normal"/>
    <w:link w:val="Heading1Char"/>
    <w:uiPriority w:val="9"/>
    <w:qFormat/>
    <w:rsid w:val="00AC7C34"/>
    <w:pPr>
      <w:ind w:left="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Heading2">
    <w:name w:val="heading 2"/>
    <w:basedOn w:val="pf0"/>
    <w:next w:val="Normal"/>
    <w:link w:val="Heading2Char"/>
    <w:uiPriority w:val="9"/>
    <w:unhideWhenUsed/>
    <w:qFormat/>
    <w:rsid w:val="00AC7C34"/>
    <w:pPr>
      <w:ind w:left="0"/>
      <w:outlineLvl w:val="1"/>
    </w:pPr>
    <w:rPr>
      <w:rFonts w:ascii="Arial" w:eastAsiaTheme="majorEastAsia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E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E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E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E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E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E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E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C34"/>
    <w:rPr>
      <w:rFonts w:ascii="Arial" w:eastAsiaTheme="majorEastAsia" w:hAnsi="Arial" w:cs="Arial"/>
      <w:b/>
      <w:bCs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C7C34"/>
    <w:rPr>
      <w:rFonts w:ascii="Arial" w:eastAsiaTheme="majorEastAsia" w:hAnsi="Arial" w:cs="Arial"/>
      <w:b/>
      <w:bCs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E4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7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E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7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E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7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E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7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E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F7E4C"/>
    <w:rPr>
      <w:rFonts w:cs="Times New Roman"/>
      <w:color w:val="0000FF"/>
      <w:u w:val="single"/>
    </w:rPr>
  </w:style>
  <w:style w:type="paragraph" w:customStyle="1" w:styleId="pf0">
    <w:name w:val="pf0"/>
    <w:basedOn w:val="Normal"/>
    <w:rsid w:val="006F7E4C"/>
    <w:pPr>
      <w:spacing w:before="100" w:beforeAutospacing="1" w:after="100" w:afterAutospacing="1"/>
      <w:ind w:left="1440"/>
    </w:pPr>
    <w:rPr>
      <w:color w:val="auto"/>
      <w:szCs w:val="24"/>
    </w:rPr>
  </w:style>
  <w:style w:type="character" w:customStyle="1" w:styleId="cf01">
    <w:name w:val="cf01"/>
    <w:rsid w:val="006F7E4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rsid w:val="006F7E4C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rsid w:val="006F7E4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o@berkele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o@berkeley.edu" TargetMode="External"/><Relationship Id="rId5" Type="http://schemas.openxmlformats.org/officeDocument/2006/relationships/hyperlink" Target="https://ehs.berkeley.edu/instructions-how-use-hazardous-waste-progr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Draper</dc:creator>
  <cp:keywords/>
  <dc:description/>
  <cp:lastModifiedBy>Jennifer Monahan</cp:lastModifiedBy>
  <cp:revision>2</cp:revision>
  <dcterms:created xsi:type="dcterms:W3CDTF">2026-06-18T20:52:00Z</dcterms:created>
  <dcterms:modified xsi:type="dcterms:W3CDTF">2026-06-18T20:52:00Z</dcterms:modified>
</cp:coreProperties>
</file>