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48" w:rsidRDefault="006C7BC2" w:rsidP="00F57116">
      <w:pPr>
        <w:pStyle w:val="Heading1"/>
      </w:pPr>
      <w:bookmarkStart w:id="0" w:name="_Hlk23340411"/>
      <w:r>
        <w:t>Information to Assist with the Risk Assessment for Lentiviral Use</w:t>
      </w:r>
    </w:p>
    <w:p w:rsidR="00271983" w:rsidRPr="00271983" w:rsidRDefault="00271983" w:rsidP="00271983"/>
    <w:p w:rsidR="006C7BC2" w:rsidRDefault="006C7BC2" w:rsidP="006C7BC2">
      <w:r>
        <w:t xml:space="preserve">Please complete the following information in order to assist the CLEB with the Risk Assessment for lentiviral vector use. Check all items </w:t>
      </w:r>
      <w:r w:rsidR="00204795">
        <w:t xml:space="preserve">that are </w:t>
      </w:r>
      <w:r>
        <w:t>applicable to your research utilizing lentiviral vectors.</w:t>
      </w:r>
    </w:p>
    <w:tbl>
      <w:tblPr>
        <w:tblStyle w:val="ListTable2-Accent5"/>
        <w:tblW w:w="0" w:type="auto"/>
        <w:tblBorders>
          <w:bottom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2E98" w:rsidTr="006C7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12E98" w:rsidRPr="00271983" w:rsidRDefault="00D12E98" w:rsidP="006C7BC2">
            <w:pPr>
              <w:rPr>
                <w:b w:val="0"/>
              </w:rPr>
            </w:pPr>
          </w:p>
        </w:tc>
        <w:tc>
          <w:tcPr>
            <w:tcW w:w="3117" w:type="dxa"/>
          </w:tcPr>
          <w:p w:rsidR="00D12E98" w:rsidRPr="000B283A" w:rsidRDefault="00D12E98" w:rsidP="00D12E98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Column 1</w:t>
            </w:r>
          </w:p>
        </w:tc>
        <w:tc>
          <w:tcPr>
            <w:tcW w:w="3117" w:type="dxa"/>
          </w:tcPr>
          <w:p w:rsidR="00D12E98" w:rsidRDefault="00D12E98" w:rsidP="00D1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Column 2</w:t>
            </w:r>
          </w:p>
        </w:tc>
      </w:tr>
      <w:tr w:rsidR="006C7BC2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C7BC2" w:rsidRPr="00271983" w:rsidRDefault="00271983" w:rsidP="006C7BC2">
            <w:pPr>
              <w:rPr>
                <w:b w:val="0"/>
              </w:rPr>
            </w:pPr>
            <w:r w:rsidRPr="00271983">
              <w:rPr>
                <w:b w:val="0"/>
              </w:rPr>
              <w:t>What is the transgene function?</w:t>
            </w:r>
          </w:p>
        </w:tc>
        <w:tc>
          <w:tcPr>
            <w:tcW w:w="3117" w:type="dxa"/>
          </w:tcPr>
          <w:p w:rsidR="006C7BC2" w:rsidRPr="002D30B0" w:rsidRDefault="007773B9" w:rsidP="00271983">
            <w:pPr>
              <w:tabs>
                <w:tab w:val="left" w:pos="8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238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 w:rsidRPr="002D30B0">
              <w:t xml:space="preserve">  Low risk, such as Protein-based fluorescence (</w:t>
            </w:r>
            <w:proofErr w:type="spellStart"/>
            <w:r w:rsidR="00271983" w:rsidRPr="002D30B0">
              <w:t>eg</w:t>
            </w:r>
            <w:proofErr w:type="spellEnd"/>
            <w:r w:rsidR="00271983" w:rsidRPr="002D30B0">
              <w:t>, GFP)</w:t>
            </w:r>
          </w:p>
        </w:tc>
        <w:tc>
          <w:tcPr>
            <w:tcW w:w="3117" w:type="dxa"/>
          </w:tcPr>
          <w:p w:rsidR="006C7BC2" w:rsidRPr="002D30B0" w:rsidRDefault="007773B9" w:rsidP="006C7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63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 w:rsidRPr="002D30B0">
              <w:t xml:space="preserve">  </w:t>
            </w:r>
            <w:r w:rsidR="004D7206">
              <w:t>High risk, such as s</w:t>
            </w:r>
            <w:r w:rsidR="00271983" w:rsidRPr="002D30B0">
              <w:t>ilence a tumor-suppressor or express an oncogene (</w:t>
            </w:r>
            <w:proofErr w:type="spellStart"/>
            <w:r w:rsidR="00271983" w:rsidRPr="002D30B0">
              <w:t>ie</w:t>
            </w:r>
            <w:proofErr w:type="spellEnd"/>
            <w:r w:rsidR="00271983" w:rsidRPr="002D30B0">
              <w:t xml:space="preserve">, </w:t>
            </w:r>
            <w:proofErr w:type="spellStart"/>
            <w:r w:rsidR="00271983" w:rsidRPr="002D30B0">
              <w:t>Ras</w:t>
            </w:r>
            <w:proofErr w:type="spellEnd"/>
            <w:r w:rsidR="00271983" w:rsidRPr="002D30B0">
              <w:t xml:space="preserve">, </w:t>
            </w:r>
            <w:proofErr w:type="spellStart"/>
            <w:r w:rsidR="00271983" w:rsidRPr="002D30B0">
              <w:t>Myc</w:t>
            </w:r>
            <w:proofErr w:type="spellEnd"/>
            <w:r w:rsidR="00271983" w:rsidRPr="002D30B0">
              <w:t>, etc.)</w:t>
            </w:r>
          </w:p>
        </w:tc>
      </w:tr>
      <w:tr w:rsidR="00271983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71983" w:rsidRPr="00271983" w:rsidRDefault="00271983" w:rsidP="00271983">
            <w:pPr>
              <w:rPr>
                <w:b w:val="0"/>
              </w:rPr>
            </w:pPr>
            <w:r>
              <w:rPr>
                <w:b w:val="0"/>
              </w:rPr>
              <w:t>What n</w:t>
            </w:r>
            <w:r w:rsidRPr="00271983">
              <w:rPr>
                <w:b w:val="0"/>
              </w:rPr>
              <w:t>umber of plasmids</w:t>
            </w:r>
            <w:r>
              <w:rPr>
                <w:b w:val="0"/>
              </w:rPr>
              <w:t xml:space="preserve"> are</w:t>
            </w:r>
            <w:r w:rsidRPr="00271983">
              <w:rPr>
                <w:b w:val="0"/>
              </w:rPr>
              <w:t xml:space="preserve"> used to generate virions</w:t>
            </w:r>
            <w:r>
              <w:rPr>
                <w:b w:val="0"/>
              </w:rPr>
              <w:t>?</w:t>
            </w:r>
          </w:p>
        </w:tc>
        <w:tc>
          <w:tcPr>
            <w:tcW w:w="3117" w:type="dxa"/>
          </w:tcPr>
          <w:p w:rsidR="00271983" w:rsidRDefault="007773B9" w:rsidP="00271983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97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>
              <w:t xml:space="preserve">  3–4 plasmids</w:t>
            </w:r>
          </w:p>
        </w:tc>
        <w:tc>
          <w:tcPr>
            <w:tcW w:w="3117" w:type="dxa"/>
          </w:tcPr>
          <w:p w:rsidR="00271983" w:rsidRDefault="007773B9" w:rsidP="00271983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12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>
              <w:t xml:space="preserve">  2 or </w:t>
            </w:r>
            <w:r w:rsidR="004D7206">
              <w:t>fewer</w:t>
            </w:r>
            <w:r w:rsidR="00271983">
              <w:t xml:space="preserve"> plasmids</w:t>
            </w:r>
          </w:p>
        </w:tc>
      </w:tr>
      <w:tr w:rsidR="00271983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271983" w:rsidRPr="00271983" w:rsidRDefault="000B283A" w:rsidP="00271983">
            <w:pPr>
              <w:rPr>
                <w:b w:val="0"/>
              </w:rPr>
            </w:pPr>
            <w:r>
              <w:rPr>
                <w:b w:val="0"/>
              </w:rPr>
              <w:t>What type of mutations are within the lentiviral vector?</w:t>
            </w:r>
          </w:p>
        </w:tc>
        <w:tc>
          <w:tcPr>
            <w:tcW w:w="3117" w:type="dxa"/>
          </w:tcPr>
          <w:p w:rsidR="00271983" w:rsidRPr="00271983" w:rsidRDefault="007773B9" w:rsidP="00271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936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Vectors that use self-inactivating long terminal repeats (LTRs) and other deleterious mutations</w:t>
            </w:r>
          </w:p>
        </w:tc>
        <w:tc>
          <w:tcPr>
            <w:tcW w:w="3117" w:type="dxa"/>
          </w:tcPr>
          <w:p w:rsidR="00271983" w:rsidRPr="00271983" w:rsidRDefault="007773B9" w:rsidP="00271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06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Wild-Type LTRs</w:t>
            </w:r>
          </w:p>
        </w:tc>
      </w:tr>
      <w:tr w:rsidR="000B283A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B283A" w:rsidRPr="00271983" w:rsidRDefault="00DA1CCB" w:rsidP="000B283A">
            <w:pPr>
              <w:rPr>
                <w:b w:val="0"/>
              </w:rPr>
            </w:pPr>
            <w:r>
              <w:rPr>
                <w:b w:val="0"/>
              </w:rPr>
              <w:t>Will viruses be concentrated?</w:t>
            </w:r>
          </w:p>
        </w:tc>
        <w:tc>
          <w:tcPr>
            <w:tcW w:w="3117" w:type="dxa"/>
          </w:tcPr>
          <w:p w:rsidR="000B283A" w:rsidRDefault="007773B9" w:rsidP="000B283A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90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DA1CCB">
              <w:t>No</w:t>
            </w:r>
          </w:p>
        </w:tc>
        <w:tc>
          <w:tcPr>
            <w:tcW w:w="3117" w:type="dxa"/>
          </w:tcPr>
          <w:p w:rsidR="000B283A" w:rsidRDefault="007773B9" w:rsidP="000B283A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DA1CCB">
              <w:t>Yes</w:t>
            </w:r>
          </w:p>
        </w:tc>
      </w:tr>
      <w:tr w:rsidR="000B283A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0B283A" w:rsidRPr="000B283A" w:rsidRDefault="000B283A" w:rsidP="000B283A">
            <w:pPr>
              <w:rPr>
                <w:b w:val="0"/>
              </w:rPr>
            </w:pPr>
            <w:r>
              <w:rPr>
                <w:b w:val="0"/>
              </w:rPr>
              <w:t>What p</w:t>
            </w:r>
            <w:r w:rsidRPr="000B283A">
              <w:rPr>
                <w:b w:val="0"/>
              </w:rPr>
              <w:t xml:space="preserve">ercentage of </w:t>
            </w:r>
            <w:r w:rsidR="004B009F">
              <w:rPr>
                <w:b w:val="0"/>
              </w:rPr>
              <w:t xml:space="preserve">the viral </w:t>
            </w:r>
            <w:r w:rsidRPr="000B283A">
              <w:rPr>
                <w:b w:val="0"/>
              </w:rPr>
              <w:t xml:space="preserve">genome </w:t>
            </w:r>
            <w:r w:rsidR="004B009F">
              <w:rPr>
                <w:b w:val="0"/>
              </w:rPr>
              <w:t xml:space="preserve">is </w:t>
            </w:r>
            <w:r w:rsidRPr="000B283A">
              <w:rPr>
                <w:b w:val="0"/>
              </w:rPr>
              <w:t>deleted or substituted</w:t>
            </w:r>
            <w:r w:rsidR="004B009F">
              <w:rPr>
                <w:b w:val="0"/>
              </w:rPr>
              <w:t>?</w:t>
            </w:r>
          </w:p>
        </w:tc>
        <w:tc>
          <w:tcPr>
            <w:tcW w:w="3117" w:type="dxa"/>
          </w:tcPr>
          <w:p w:rsidR="000B283A" w:rsidRDefault="007773B9" w:rsidP="000B283A">
            <w:pPr>
              <w:tabs>
                <w:tab w:val="center" w:pos="1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237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4B009F">
              <w:t>&gt;2/3</w:t>
            </w:r>
          </w:p>
        </w:tc>
        <w:tc>
          <w:tcPr>
            <w:tcW w:w="3117" w:type="dxa"/>
          </w:tcPr>
          <w:p w:rsidR="000B283A" w:rsidRDefault="007773B9" w:rsidP="000B283A">
            <w:pPr>
              <w:tabs>
                <w:tab w:val="center" w:pos="1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748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4B009F">
              <w:t>&lt;2/3</w:t>
            </w:r>
          </w:p>
        </w:tc>
      </w:tr>
      <w:tr w:rsidR="004B009F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B009F" w:rsidRDefault="004B009F" w:rsidP="004B009F">
            <w:pPr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4D7206">
              <w:rPr>
                <w:b w:val="0"/>
              </w:rPr>
              <w:t>endonuclease</w:t>
            </w:r>
            <w:r>
              <w:rPr>
                <w:b w:val="0"/>
              </w:rPr>
              <w:t xml:space="preserve"> technology is used with lentiviral vectors, how will this be accomplished?</w:t>
            </w:r>
          </w:p>
        </w:tc>
        <w:tc>
          <w:tcPr>
            <w:tcW w:w="3117" w:type="dxa"/>
          </w:tcPr>
          <w:p w:rsidR="004B009F" w:rsidRDefault="007773B9" w:rsidP="004B009F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84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09F">
              <w:t xml:space="preserve">  </w:t>
            </w:r>
            <w:r w:rsidR="004D7206">
              <w:t>Endonuclease or derivative</w:t>
            </w:r>
            <w:r w:rsidR="004B009F" w:rsidRPr="004B009F">
              <w:t xml:space="preserve"> </w:t>
            </w:r>
            <w:r w:rsidR="004B009F">
              <w:t>will be</w:t>
            </w:r>
            <w:r w:rsidR="004B009F" w:rsidRPr="004B009F">
              <w:t xml:space="preserve"> stably integrated into the cell lines in a separate step</w:t>
            </w:r>
          </w:p>
        </w:tc>
        <w:tc>
          <w:tcPr>
            <w:tcW w:w="3117" w:type="dxa"/>
          </w:tcPr>
          <w:p w:rsidR="004B009F" w:rsidRPr="004B009F" w:rsidRDefault="007773B9" w:rsidP="004B009F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289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09F">
              <w:t xml:space="preserve">  Lentivirus will </w:t>
            </w:r>
            <w:r w:rsidR="004B009F" w:rsidRPr="004B009F">
              <w:t xml:space="preserve">deliver </w:t>
            </w:r>
            <w:r w:rsidR="004D7206">
              <w:t>a complete genome editing system</w:t>
            </w:r>
          </w:p>
        </w:tc>
      </w:tr>
    </w:tbl>
    <w:p w:rsidR="006C7BC2" w:rsidRDefault="006C7BC2" w:rsidP="006C7BC2"/>
    <w:p w:rsidR="00781E2E" w:rsidRDefault="00D12E98" w:rsidP="006C7BC2">
      <w:r>
        <w:t xml:space="preserve">If any boxes are checked in Column 2, please complete the </w:t>
      </w:r>
      <w:r w:rsidRPr="00D12E98">
        <w:t xml:space="preserve">Lab-specific Lentivirus Exposure Response Plan </w:t>
      </w:r>
      <w:r>
        <w:t xml:space="preserve">2. If boxes are only checked in Column 1, please complete the </w:t>
      </w:r>
      <w:r w:rsidRPr="00D12E98">
        <w:t>Lab-specific Lentivirus Exposure Response Plan 1</w:t>
      </w:r>
      <w:r>
        <w:t>.</w:t>
      </w:r>
      <w:bookmarkEnd w:id="0"/>
    </w:p>
    <w:p w:rsidR="00910912" w:rsidRDefault="00910912">
      <w:r>
        <w:br w:type="page"/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155"/>
        <w:gridCol w:w="2745"/>
        <w:gridCol w:w="1845"/>
      </w:tblGrid>
      <w:tr w:rsidR="00910912" w:rsidRPr="00910912" w:rsidTr="00233545">
        <w:tc>
          <w:tcPr>
            <w:tcW w:w="10170" w:type="dxa"/>
            <w:gridSpan w:val="4"/>
            <w:shd w:val="clear" w:color="auto" w:fill="B4C6E7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 Information</w:t>
            </w:r>
          </w:p>
        </w:tc>
      </w:tr>
      <w:tr w:rsidR="00910912" w:rsidRPr="00910912" w:rsidTr="00233545">
        <w:tc>
          <w:tcPr>
            <w:tcW w:w="142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PI</w:t>
            </w:r>
          </w:p>
        </w:tc>
        <w:tc>
          <w:tcPr>
            <w:tcW w:w="415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910912" w:rsidRPr="00910912" w:rsidTr="00233545">
        <w:tc>
          <w:tcPr>
            <w:tcW w:w="142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 Email</w:t>
            </w:r>
          </w:p>
        </w:tc>
        <w:tc>
          <w:tcPr>
            <w:tcW w:w="415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Emergency </w:t>
            </w: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8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910912" w:rsidRPr="00910912" w:rsidTr="00233545">
        <w:tc>
          <w:tcPr>
            <w:tcW w:w="142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15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BUA Number</w:t>
            </w:r>
          </w:p>
        </w:tc>
        <w:tc>
          <w:tcPr>
            <w:tcW w:w="1845" w:type="dxa"/>
          </w:tcPr>
          <w:p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2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00"/>
      </w:tblGrid>
      <w:tr w:rsidR="00910912" w:rsidRPr="00910912" w:rsidTr="00233545">
        <w:tc>
          <w:tcPr>
            <w:tcW w:w="10230" w:type="dxa"/>
            <w:gridSpan w:val="2"/>
            <w:shd w:val="clear" w:color="auto" w:fill="B4C6E7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0912">
              <w:rPr>
                <w:rFonts w:ascii="Arial" w:eastAsia="Arial" w:hAnsi="Arial" w:cs="Arial"/>
                <w:b/>
                <w:sz w:val="24"/>
                <w:szCs w:val="24"/>
              </w:rPr>
              <w:t>Lentivirus Exposure Response Plan</w:t>
            </w:r>
          </w:p>
        </w:tc>
      </w:tr>
      <w:tr w:rsidR="00910912" w:rsidRPr="00910912" w:rsidTr="00233545">
        <w:trPr>
          <w:trHeight w:val="800"/>
        </w:trPr>
        <w:tc>
          <w:tcPr>
            <w:tcW w:w="2430" w:type="dxa"/>
            <w:tcBorders>
              <w:bottom w:val="single" w:sz="4" w:space="0" w:color="000000"/>
            </w:tcBorders>
          </w:tcPr>
          <w:p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Biological Agent Information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Lentiviral vectors are single-stranded RNA viral vectors derived from the human immunodeficiency virus (HIV) that retain the ability to integrate into the genome of infected cells. </w:t>
            </w:r>
          </w:p>
        </w:tc>
      </w:tr>
      <w:tr w:rsidR="00910912" w:rsidRPr="00910912" w:rsidTr="00233545">
        <w:trPr>
          <w:trHeight w:val="14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A6A6A6"/>
                <w:sz w:val="20"/>
                <w:szCs w:val="20"/>
              </w:rPr>
              <w:t>Please fill out as completely as possible.</w:t>
            </w:r>
          </w:p>
        </w:tc>
      </w:tr>
      <w:tr w:rsidR="00910912" w:rsidRPr="00910912" w:rsidTr="00233545">
        <w:tc>
          <w:tcPr>
            <w:tcW w:w="2430" w:type="dxa"/>
            <w:tcBorders>
              <w:left w:val="single" w:sz="4" w:space="0" w:color="000000"/>
            </w:tcBorders>
          </w:tcPr>
          <w:p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Vector System</w:t>
            </w:r>
          </w:p>
          <w:p w:rsidR="00910912" w:rsidRPr="00910912" w:rsidRDefault="00910912" w:rsidP="009109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</w:tcPr>
          <w:p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0912" w:rsidRPr="00910912" w:rsidTr="00233545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Transgene Information</w:t>
            </w:r>
          </w:p>
          <w:p w:rsidR="00910912" w:rsidRPr="00910912" w:rsidRDefault="00910912" w:rsidP="009109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10912" w:rsidRPr="00910912" w:rsidTr="00233545">
        <w:tc>
          <w:tcPr>
            <w:tcW w:w="2430" w:type="dxa"/>
            <w:tcBorders>
              <w:top w:val="single" w:sz="4" w:space="0" w:color="000000"/>
            </w:tcBorders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Risks of Exposure</w:t>
            </w:r>
          </w:p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000000"/>
            </w:tcBorders>
          </w:tcPr>
          <w:p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Insertional mutagenesis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The lentiviral vector can disrupt the normal regulation of cell development and proliferation leading to oncogenesis. </w:t>
            </w:r>
          </w:p>
          <w:p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Generation of replication-competent retrovirus: 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The lentiviral vector may undergo a series of low probability events to revert to a replication-competent retrovirus.</w:t>
            </w:r>
          </w:p>
          <w:p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Transgene oncogenesis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91091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oncogenes are used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The transgene is an oncogene and may induce oncogenesis in infected cells. </w:t>
            </w:r>
          </w:p>
        </w:tc>
      </w:tr>
      <w:tr w:rsidR="00910912" w:rsidRPr="00910912" w:rsidTr="00233545">
        <w:tc>
          <w:tcPr>
            <w:tcW w:w="2430" w:type="dxa"/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Routes of Transmission</w:t>
            </w:r>
          </w:p>
        </w:tc>
        <w:tc>
          <w:tcPr>
            <w:tcW w:w="7800" w:type="dxa"/>
          </w:tcPr>
          <w:p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Direct parenteral inoculation.</w:t>
            </w:r>
          </w:p>
          <w:p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with mucous membranes or non-intact skin.</w:t>
            </w:r>
          </w:p>
          <w:p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Direct contact at a close range to droplets from an aerosol-generating procedure outside of primary containment. </w:t>
            </w:r>
          </w:p>
        </w:tc>
      </w:tr>
      <w:tr w:rsidR="00910912" w:rsidRPr="00910912" w:rsidTr="00233545">
        <w:tc>
          <w:tcPr>
            <w:tcW w:w="2430" w:type="dxa"/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7800" w:type="dxa"/>
          </w:tcPr>
          <w:p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Intact Skin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wash off the affected area with copious amounts of running water to dilute, cleanse, and flush (do not scrub) the LVVs from intact skin.</w:t>
            </w:r>
          </w:p>
          <w:p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Non-intact Skin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Immediately wash the exposed area with copious amounts of soap and water to dilute, cleanse, and flush the LVVs from the area. </w:t>
            </w:r>
          </w:p>
          <w:p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Mucous Membrane Exposure</w:t>
            </w: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 (Eyes</w:t>
            </w: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Nose, or Mouth)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flush the area with running water for at least 15 minutes.</w:t>
            </w:r>
          </w:p>
          <w:p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Droplet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See above based upon the area exposed.</w:t>
            </w:r>
          </w:p>
        </w:tc>
      </w:tr>
      <w:tr w:rsidR="00910912" w:rsidRPr="00910912" w:rsidTr="00233545">
        <w:tc>
          <w:tcPr>
            <w:tcW w:w="2430" w:type="dxa"/>
          </w:tcPr>
          <w:p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First Aid Treatment</w:t>
            </w:r>
          </w:p>
        </w:tc>
        <w:tc>
          <w:tcPr>
            <w:tcW w:w="7800" w:type="dxa"/>
          </w:tcPr>
          <w:p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 emergency personnel for injuries if immediate medical care is needed (911 or 510-642-3333 from a cell phone) </w:t>
            </w:r>
          </w:p>
          <w:p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Stabilize the individual and provide first aid for injuries that require immediate medical care (e.g., deep cuts, bleeding, etc.).</w:t>
            </w:r>
          </w:p>
          <w:p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Seek immediate </w:t>
            </w:r>
            <w:r w:rsidRPr="009109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(within 2 hours)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medical attention (Tang Center or Alta Bates for after-hours care) for decontamination and possible Post-Exposure Prophylaxis (PEP).</w:t>
            </w:r>
          </w:p>
          <w:p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Based on the evaluation and information provided by your lab, the following treatments may be offered:</w:t>
            </w:r>
          </w:p>
          <w:p w:rsidR="00910912" w:rsidRPr="00910912" w:rsidRDefault="00910912" w:rsidP="00910912">
            <w:pPr>
              <w:numPr>
                <w:ilvl w:val="1"/>
                <w:numId w:val="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An integrase inhibitor such as </w:t>
            </w:r>
            <w:proofErr w:type="spellStart"/>
            <w:r w:rsidRPr="00910912">
              <w:rPr>
                <w:rFonts w:ascii="Arial" w:eastAsia="Arial" w:hAnsi="Arial" w:cs="Arial"/>
                <w:sz w:val="20"/>
                <w:szCs w:val="20"/>
              </w:rPr>
              <w:t>raltegravir</w:t>
            </w:r>
            <w:proofErr w:type="spellEnd"/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7-day course </w:t>
            </w:r>
          </w:p>
          <w:p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best administered ASAP, but within 72 hours of exposure</w:t>
            </w:r>
          </w:p>
          <w:p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 and treatment of overt effects of the exposure incident.</w:t>
            </w:r>
          </w:p>
        </w:tc>
      </w:tr>
      <w:tr w:rsidR="00910912" w:rsidRPr="00910912" w:rsidTr="00233545">
        <w:trPr>
          <w:trHeight w:val="780"/>
        </w:trPr>
        <w:tc>
          <w:tcPr>
            <w:tcW w:w="2430" w:type="dxa"/>
          </w:tcPr>
          <w:p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Reporting Incident</w:t>
            </w:r>
          </w:p>
        </w:tc>
        <w:tc>
          <w:tcPr>
            <w:tcW w:w="7800" w:type="dxa"/>
          </w:tcPr>
          <w:p w:rsidR="00910912" w:rsidRPr="00910912" w:rsidRDefault="00910912" w:rsidP="0091091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All exposure incidents should immediately be reported to the principal investigator, and the Office of Environment, Health &amp; Safety (510-642-3073) or Occupational Health (510-642-6891). </w:t>
            </w:r>
          </w:p>
        </w:tc>
      </w:tr>
    </w:tbl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910912" w:rsidRPr="00910912" w:rsidTr="00233545">
        <w:tc>
          <w:tcPr>
            <w:tcW w:w="10170" w:type="dxa"/>
            <w:gridSpan w:val="2"/>
            <w:shd w:val="clear" w:color="auto" w:fill="B4C6E7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4"/>
                <w:szCs w:val="24"/>
              </w:rPr>
              <w:t>Instructions for Clinicians</w:t>
            </w:r>
          </w:p>
        </w:tc>
      </w:tr>
      <w:tr w:rsidR="00910912" w:rsidRPr="00910912" w:rsidTr="00233545">
        <w:tc>
          <w:tcPr>
            <w:tcW w:w="2430" w:type="dxa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Decontamination</w:t>
            </w:r>
          </w:p>
        </w:tc>
        <w:tc>
          <w:tcPr>
            <w:tcW w:w="7740" w:type="dxa"/>
          </w:tcPr>
          <w:p w:rsidR="00910912" w:rsidRPr="00910912" w:rsidRDefault="00910912" w:rsidP="009109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Assure that adequate decontamination occurred at the time of exposure.  If not, follow instructions above for First Aid.</w:t>
            </w:r>
          </w:p>
        </w:tc>
      </w:tr>
      <w:tr w:rsidR="00910912" w:rsidRPr="00910912" w:rsidTr="00233545">
        <w:tc>
          <w:tcPr>
            <w:tcW w:w="2430" w:type="dxa"/>
            <w:shd w:val="clear" w:color="auto" w:fill="FFFFFF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Exposure Assessment</w:t>
            </w:r>
          </w:p>
        </w:tc>
        <w:tc>
          <w:tcPr>
            <w:tcW w:w="7740" w:type="dxa"/>
            <w:shd w:val="clear" w:color="auto" w:fill="FFFFFF"/>
          </w:tcPr>
          <w:p w:rsidR="00910912" w:rsidRPr="00910912" w:rsidRDefault="00910912" w:rsidP="0091091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OFFER 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PEP if:</w:t>
            </w:r>
          </w:p>
          <w:p w:rsidR="00910912" w:rsidRPr="00910912" w:rsidRDefault="00910912" w:rsidP="00910912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 to LVV was via injection, non-intact skin, via mucous membrane or droplet aerosol outside primary containment.</w:t>
            </w:r>
          </w:p>
          <w:p w:rsidR="00910912" w:rsidRPr="00910912" w:rsidRDefault="00910912" w:rsidP="00910912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910912" w:rsidRPr="00910912" w:rsidRDefault="00910912" w:rsidP="00910912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here are no contraindications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PEP is not recommended for exposure to intact skin that has been appropriately decontaminated. (If skin was inadvertently broken, due to vigorous scrubbing, consider PEP).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Chemoprophylaxis should begin ASAP. Integration of the transgene can occur as early as 2 hours and most likely within 10-12 hours after the exposure. Note that there is no likely benefit from PEP 72 hours after exposure.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other consequences of exposure: trauma, bleeding, tetanus vaccine status, HIV/AIDs history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 risk/benefit of use of these antivirals.  Generally considered safe, but consider nephrotoxicity, drug resistance, etc.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concerned about drug toxicity, use single drug regimen. </w:t>
            </w:r>
          </w:p>
          <w:p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pre-existing HIV and H</w:t>
            </w:r>
            <w:r w:rsidRPr="00910912">
              <w:rPr>
                <w:rFonts w:ascii="Arial" w:eastAsia="Arial" w:hAnsi="Arial" w:cs="Arial"/>
                <w:sz w:val="20"/>
                <w:szCs w:val="20"/>
              </w:rPr>
              <w:t>BV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infection status. </w:t>
            </w:r>
          </w:p>
          <w:p w:rsidR="00910912" w:rsidRPr="00910912" w:rsidRDefault="00910912" w:rsidP="00910912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0912" w:rsidRPr="00910912" w:rsidTr="00233545">
        <w:tc>
          <w:tcPr>
            <w:tcW w:w="2430" w:type="dxa"/>
            <w:shd w:val="clear" w:color="auto" w:fill="FFFFFF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RECOMMENDED</w:t>
            </w:r>
          </w:p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PEP Regimen: </w:t>
            </w:r>
          </w:p>
        </w:tc>
        <w:tc>
          <w:tcPr>
            <w:tcW w:w="7740" w:type="dxa"/>
            <w:shd w:val="clear" w:color="auto" w:fill="FFFFFF"/>
          </w:tcPr>
          <w:p w:rsidR="00910912" w:rsidRPr="00910912" w:rsidRDefault="00910912" w:rsidP="009109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Single Drug Regimen</w:t>
            </w:r>
          </w:p>
          <w:p w:rsidR="00910912" w:rsidRPr="00910912" w:rsidRDefault="00910912" w:rsidP="00910912">
            <w:pPr>
              <w:numPr>
                <w:ilvl w:val="1"/>
                <w:numId w:val="5"/>
              </w:num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Raltegravir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400 mg </w:t>
            </w: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pg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twice daily x 7 days.</w:t>
            </w:r>
          </w:p>
        </w:tc>
      </w:tr>
      <w:tr w:rsidR="00910912" w:rsidRPr="00910912" w:rsidTr="00233545">
        <w:tc>
          <w:tcPr>
            <w:tcW w:w="2430" w:type="dxa"/>
            <w:shd w:val="clear" w:color="auto" w:fill="FFFFFF"/>
          </w:tcPr>
          <w:p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Notes on PEP</w:t>
            </w:r>
          </w:p>
        </w:tc>
        <w:tc>
          <w:tcPr>
            <w:tcW w:w="7740" w:type="dxa"/>
            <w:shd w:val="clear" w:color="auto" w:fill="FFFFFF"/>
          </w:tcPr>
          <w:p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an off-label use of these anti-</w:t>
            </w: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retrovirals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, but routinely used in HIV PEP.  They have very good safety profiles, and further made safe by short regimen (7 days)</w:t>
            </w:r>
          </w:p>
          <w:p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Documented in the Journal of Occupational and Environmental Medicine</w:t>
            </w:r>
          </w:p>
          <w:p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NNRTIs, protease inhibitors, entry inhibitors and fusion inhibitors would NOT be effective in this type of exposure</w:t>
            </w:r>
          </w:p>
        </w:tc>
      </w:tr>
    </w:tbl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10912" w:rsidRP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10912" w:rsidRP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10912">
        <w:rPr>
          <w:rFonts w:ascii="Arial" w:eastAsia="Arial" w:hAnsi="Arial" w:cs="Arial"/>
          <w:b/>
          <w:sz w:val="28"/>
          <w:szCs w:val="28"/>
        </w:rPr>
        <w:lastRenderedPageBreak/>
        <w:t>RESOURCES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7773B9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 Berkeley Biosafety Officer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Phone #: (510) 849-7142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910912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910912">
        <w:rPr>
          <w:rFonts w:ascii="Arial" w:eastAsia="Arial" w:hAnsi="Arial" w:cs="Arial"/>
          <w:sz w:val="20"/>
          <w:szCs w:val="20"/>
        </w:rPr>
        <w:t>: bso@berkeley.edu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University Health Services - 2222 Bancroft Way, Berkeley, CA 94720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Occupational Health Clinic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 xml:space="preserve">Monday through Friday 8:00 AM to 4:45 PM  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510-642-6891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bookmarkStart w:id="2" w:name="_GoBack"/>
      <w:bookmarkEnd w:id="2"/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 xml:space="preserve">UHS Urgent Care 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Monday – Friday 8:00 AM to 6:00 PM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510-642-3188</w:t>
      </w:r>
    </w:p>
    <w:p w:rsidR="00910912" w:rsidRPr="00910912" w:rsidRDefault="00910912" w:rsidP="00910912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Sutter Alta Bates Summit MC - Emergency Department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2450 Ashby Avenue, Berkeley CA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510-204-4444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Open 24 hours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Reference: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910912">
        <w:rPr>
          <w:rFonts w:ascii="Arial" w:eastAsia="Arial" w:hAnsi="Arial" w:cs="Arial"/>
          <w:sz w:val="20"/>
          <w:szCs w:val="20"/>
        </w:rPr>
        <w:t>Schlimgen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R, Howard J, Wooley D, Thompson M, Baden L, Yang O, </w:t>
      </w:r>
      <w:proofErr w:type="spellStart"/>
      <w:r w:rsidRPr="00910912">
        <w:rPr>
          <w:rFonts w:ascii="Arial" w:eastAsia="Arial" w:hAnsi="Arial" w:cs="Arial"/>
          <w:sz w:val="20"/>
          <w:szCs w:val="20"/>
        </w:rPr>
        <w:t>Christiani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D, </w:t>
      </w:r>
      <w:proofErr w:type="spellStart"/>
      <w:r w:rsidRPr="00910912">
        <w:rPr>
          <w:rFonts w:ascii="Arial" w:eastAsia="Arial" w:hAnsi="Arial" w:cs="Arial"/>
          <w:sz w:val="20"/>
          <w:szCs w:val="20"/>
        </w:rPr>
        <w:t>Mostoslavski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G, Diamond D, Duane E, Byers K, Winters T, Gelfand J, Fujimoto G, Hudson TW, Vyas J. 2016. Risks Associated with Lentiviral Vector Exposures and Prevention Strategies. J </w:t>
      </w:r>
      <w:proofErr w:type="spellStart"/>
      <w:r w:rsidRPr="00910912">
        <w:rPr>
          <w:rFonts w:ascii="Arial" w:eastAsia="Arial" w:hAnsi="Arial" w:cs="Arial"/>
          <w:sz w:val="20"/>
          <w:szCs w:val="20"/>
        </w:rPr>
        <w:t>Occup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Environ Med Dec; 58(12): 1159-1166.</w:t>
      </w: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https://www.ncbi.nlm.nih.gov/pmc/articles/PMC5152689/</w:t>
      </w:r>
    </w:p>
    <w:p w:rsidR="00910912" w:rsidRDefault="00910912" w:rsidP="006C7BC2"/>
    <w:p w:rsidR="00E77BC9" w:rsidRDefault="00E77BC9" w:rsidP="006C7BC2"/>
    <w:p w:rsidR="00E77BC9" w:rsidRDefault="00E77BC9">
      <w:r>
        <w:br w:type="page"/>
      </w:r>
    </w:p>
    <w:p w:rsidR="00E77BC9" w:rsidRDefault="00E77BC9" w:rsidP="006C7BC2">
      <w:pPr>
        <w:sectPr w:rsidR="00E77BC9" w:rsidSect="00910912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155"/>
        <w:gridCol w:w="2745"/>
        <w:gridCol w:w="1845"/>
      </w:tblGrid>
      <w:tr w:rsidR="00E77BC9" w:rsidRPr="00E77BC9" w:rsidTr="00C307F4">
        <w:tc>
          <w:tcPr>
            <w:tcW w:w="10170" w:type="dxa"/>
            <w:gridSpan w:val="4"/>
            <w:shd w:val="clear" w:color="auto" w:fill="B4C6E7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 Information</w:t>
            </w:r>
          </w:p>
        </w:tc>
      </w:tr>
      <w:tr w:rsidR="00E77BC9" w:rsidRPr="00E77BC9" w:rsidTr="00C307F4">
        <w:tc>
          <w:tcPr>
            <w:tcW w:w="142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PI</w:t>
            </w:r>
          </w:p>
        </w:tc>
        <w:tc>
          <w:tcPr>
            <w:tcW w:w="415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E77BC9" w:rsidRPr="00E77BC9" w:rsidTr="00C307F4">
        <w:tc>
          <w:tcPr>
            <w:tcW w:w="142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 Email</w:t>
            </w:r>
          </w:p>
        </w:tc>
        <w:tc>
          <w:tcPr>
            <w:tcW w:w="415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Emergency </w:t>
            </w: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8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E77BC9" w:rsidRPr="00E77BC9" w:rsidTr="00C307F4">
        <w:tc>
          <w:tcPr>
            <w:tcW w:w="142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15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BUA Number</w:t>
            </w:r>
          </w:p>
        </w:tc>
        <w:tc>
          <w:tcPr>
            <w:tcW w:w="1845" w:type="dxa"/>
          </w:tcPr>
          <w:p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2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00"/>
      </w:tblGrid>
      <w:tr w:rsidR="00E77BC9" w:rsidRPr="00E77BC9" w:rsidTr="00C307F4">
        <w:tc>
          <w:tcPr>
            <w:tcW w:w="10230" w:type="dxa"/>
            <w:gridSpan w:val="2"/>
            <w:shd w:val="clear" w:color="auto" w:fill="B4C6E7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  <w:r w:rsidRPr="00E77BC9">
              <w:rPr>
                <w:rFonts w:ascii="Arial" w:eastAsia="Arial" w:hAnsi="Arial" w:cs="Arial"/>
                <w:b/>
                <w:sz w:val="24"/>
                <w:szCs w:val="24"/>
              </w:rPr>
              <w:t>Lentivirus Exposure Response Plan</w:t>
            </w:r>
          </w:p>
        </w:tc>
      </w:tr>
      <w:tr w:rsidR="00E77BC9" w:rsidRPr="00E77BC9" w:rsidTr="00C307F4">
        <w:trPr>
          <w:trHeight w:val="800"/>
        </w:trPr>
        <w:tc>
          <w:tcPr>
            <w:tcW w:w="2430" w:type="dxa"/>
            <w:tcBorders>
              <w:bottom w:val="single" w:sz="4" w:space="0" w:color="000000"/>
            </w:tcBorders>
          </w:tcPr>
          <w:p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Biological Agent Information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Lentiviral vectors are single-stranded RNA viral vectors derived from the human immunodeficiency virus (HIV) that retain the ability to integrate into the genome of infected cells.</w:t>
            </w:r>
            <w:r w:rsidRPr="00E77BC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E77BC9" w:rsidRPr="00E77BC9" w:rsidTr="00C307F4">
        <w:trPr>
          <w:trHeight w:val="14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A6A6A6"/>
                <w:sz w:val="20"/>
                <w:szCs w:val="20"/>
              </w:rPr>
              <w:t>Please fill out as completely as possible.</w:t>
            </w:r>
          </w:p>
        </w:tc>
      </w:tr>
      <w:tr w:rsidR="00E77BC9" w:rsidRPr="00E77BC9" w:rsidTr="00C307F4">
        <w:tc>
          <w:tcPr>
            <w:tcW w:w="2430" w:type="dxa"/>
            <w:tcBorders>
              <w:left w:val="single" w:sz="4" w:space="0" w:color="000000"/>
            </w:tcBorders>
          </w:tcPr>
          <w:p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Vector System</w:t>
            </w:r>
          </w:p>
          <w:p w:rsidR="00E77BC9" w:rsidRPr="00E77BC9" w:rsidRDefault="00E77BC9" w:rsidP="00E77BC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</w:tcPr>
          <w:p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BC9" w:rsidRPr="00E77BC9" w:rsidTr="00C307F4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Transgene Information</w:t>
            </w:r>
          </w:p>
          <w:p w:rsidR="00E77BC9" w:rsidRPr="00E77BC9" w:rsidRDefault="00E77BC9" w:rsidP="00E77BC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7BC9" w:rsidRPr="00E77BC9" w:rsidTr="00C307F4">
        <w:tc>
          <w:tcPr>
            <w:tcW w:w="2430" w:type="dxa"/>
            <w:tcBorders>
              <w:top w:val="single" w:sz="4" w:space="0" w:color="000000"/>
            </w:tcBorders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Risks of Exposure</w:t>
            </w:r>
          </w:p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000000"/>
            </w:tcBorders>
          </w:tcPr>
          <w:p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Insertional mutagenesis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The lentiviral vector can disrupt the normal regulation of cell development and proliferation leading to oncogenesis. </w:t>
            </w:r>
          </w:p>
          <w:p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Generation of replication-competent retrovirus: 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The lentiviral vector may undergo a series of low probability events to revert to a replication-competent retrovirus.</w:t>
            </w:r>
          </w:p>
          <w:p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Transgene oncogenesis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E77BC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oncogenes are used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The transgene is an oncogene and may induce oncogenesis in infected cells. </w:t>
            </w:r>
          </w:p>
        </w:tc>
      </w:tr>
      <w:tr w:rsidR="00E77BC9" w:rsidRPr="00E77BC9" w:rsidTr="00C307F4">
        <w:tc>
          <w:tcPr>
            <w:tcW w:w="2430" w:type="dxa"/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Routes of Transmission</w:t>
            </w:r>
          </w:p>
        </w:tc>
        <w:tc>
          <w:tcPr>
            <w:tcW w:w="7800" w:type="dxa"/>
          </w:tcPr>
          <w:p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Direct parenteral inoculation.</w:t>
            </w:r>
          </w:p>
          <w:p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with mucous membranes or non-intact skin.</w:t>
            </w:r>
          </w:p>
          <w:p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Direct contact at a close range to droplets from an aerosol-generating procedure outside of primary containment. </w:t>
            </w:r>
          </w:p>
        </w:tc>
      </w:tr>
      <w:tr w:rsidR="00E77BC9" w:rsidRPr="00E77BC9" w:rsidTr="00C307F4">
        <w:tc>
          <w:tcPr>
            <w:tcW w:w="2430" w:type="dxa"/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7800" w:type="dxa"/>
          </w:tcPr>
          <w:p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Intact Skin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wash off the affected area with copious amounts of running water to dilute, cleanse, and flush (do not scrub) the LVVs from intact skin.</w:t>
            </w:r>
          </w:p>
          <w:p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Non-intact Skin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Immediately wash the exposed area with copious amounts of soap and water to dilute, cleanse, and flush the LVVs from the area. </w:t>
            </w:r>
          </w:p>
          <w:p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Mucous Membrane Exposure</w:t>
            </w: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 (Eyes</w:t>
            </w: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Nose, or Mouth)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flush the area with running water for at least 15 minutes.</w:t>
            </w:r>
          </w:p>
          <w:p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Droplet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See above based upon the area exposed.</w:t>
            </w:r>
          </w:p>
        </w:tc>
      </w:tr>
      <w:tr w:rsidR="00E77BC9" w:rsidRPr="00E77BC9" w:rsidTr="00C307F4">
        <w:tc>
          <w:tcPr>
            <w:tcW w:w="2430" w:type="dxa"/>
          </w:tcPr>
          <w:p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First Aid Treatment</w:t>
            </w:r>
          </w:p>
        </w:tc>
        <w:tc>
          <w:tcPr>
            <w:tcW w:w="7800" w:type="dxa"/>
          </w:tcPr>
          <w:p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 emergency personnel for injuries if immediate medical care is needed (911 or 510-642-3333 from a cell phone) </w:t>
            </w:r>
          </w:p>
          <w:p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Stabilize the individual and provide first aid for injuries that require immediate medical care (e.g., deep cuts, bleeding, etc.).</w:t>
            </w:r>
          </w:p>
          <w:p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Seek immediate </w:t>
            </w:r>
            <w:r w:rsidRPr="00E77B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(within 2 hours)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medical attention (Tang Center or Alta Bates for after-hours care) for decontamination and possible Post-Exposure Prophylaxis (PEP).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Based on the evaluation and information provided by your lab, the following treatments may be offered: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An integrase inhibitor such as </w:t>
            </w:r>
            <w:proofErr w:type="spellStart"/>
            <w:r w:rsidRPr="00E77BC9">
              <w:rPr>
                <w:rFonts w:ascii="Arial" w:eastAsia="Arial" w:hAnsi="Arial" w:cs="Arial"/>
                <w:sz w:val="20"/>
                <w:szCs w:val="20"/>
              </w:rPr>
              <w:t>raltegravir</w:t>
            </w:r>
            <w:proofErr w:type="spell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An NRTI (nucleoside reverse transcriptase inhibitor) such as tenofovir 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7-day course 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best administered ASAP, but within 72 hours of exposure</w:t>
            </w:r>
          </w:p>
          <w:p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 and treatment of overt effects of the exposure incident.</w:t>
            </w:r>
          </w:p>
        </w:tc>
      </w:tr>
      <w:tr w:rsidR="00E77BC9" w:rsidRPr="00E77BC9" w:rsidTr="00C307F4">
        <w:trPr>
          <w:trHeight w:val="780"/>
        </w:trPr>
        <w:tc>
          <w:tcPr>
            <w:tcW w:w="2430" w:type="dxa"/>
          </w:tcPr>
          <w:p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Reporting Incident</w:t>
            </w:r>
          </w:p>
        </w:tc>
        <w:tc>
          <w:tcPr>
            <w:tcW w:w="7800" w:type="dxa"/>
          </w:tcPr>
          <w:p w:rsidR="00E77BC9" w:rsidRPr="00E77BC9" w:rsidRDefault="00E77BC9" w:rsidP="00E77BC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All exposure incidents should immediately be reported to the principal investigator, </w:t>
            </w:r>
            <w:proofErr w:type="gramStart"/>
            <w:r w:rsidRPr="00E77BC9">
              <w:rPr>
                <w:rFonts w:ascii="Arial" w:eastAsia="Arial" w:hAnsi="Arial" w:cs="Arial"/>
                <w:sz w:val="20"/>
                <w:szCs w:val="20"/>
              </w:rPr>
              <w:t>and  the</w:t>
            </w:r>
            <w:proofErr w:type="gram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 Office of Environment, Health &amp; Safety (510-642-3073) or Occupational Health (510-642-6891). </w:t>
            </w:r>
          </w:p>
        </w:tc>
      </w:tr>
    </w:tbl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E77BC9" w:rsidRPr="00E77BC9" w:rsidTr="00C307F4">
        <w:tc>
          <w:tcPr>
            <w:tcW w:w="10170" w:type="dxa"/>
            <w:gridSpan w:val="2"/>
            <w:shd w:val="clear" w:color="auto" w:fill="B4C6E7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4"/>
                <w:szCs w:val="24"/>
              </w:rPr>
              <w:t>Instructions for Clinicians</w:t>
            </w:r>
          </w:p>
        </w:tc>
      </w:tr>
      <w:tr w:rsidR="00E77BC9" w:rsidRPr="00E77BC9" w:rsidTr="00C307F4">
        <w:tc>
          <w:tcPr>
            <w:tcW w:w="2430" w:type="dxa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Decontamination</w:t>
            </w:r>
          </w:p>
        </w:tc>
        <w:tc>
          <w:tcPr>
            <w:tcW w:w="7740" w:type="dxa"/>
          </w:tcPr>
          <w:p w:rsidR="00E77BC9" w:rsidRPr="00E77BC9" w:rsidRDefault="00E77BC9" w:rsidP="00E77B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Assure that adequate decontamination occurred at the time of exposure.  If not, follow instructions above for First Aid.</w:t>
            </w:r>
          </w:p>
        </w:tc>
      </w:tr>
      <w:tr w:rsidR="00E77BC9" w:rsidRPr="00E77BC9" w:rsidTr="00C307F4">
        <w:tc>
          <w:tcPr>
            <w:tcW w:w="2430" w:type="dxa"/>
            <w:shd w:val="clear" w:color="auto" w:fill="FFFFFF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Exposure Assessment</w:t>
            </w:r>
          </w:p>
        </w:tc>
        <w:tc>
          <w:tcPr>
            <w:tcW w:w="7740" w:type="dxa"/>
            <w:shd w:val="clear" w:color="auto" w:fill="FFFFFF"/>
          </w:tcPr>
          <w:p w:rsidR="00E77BC9" w:rsidRPr="00E77BC9" w:rsidRDefault="00E77BC9" w:rsidP="00E77BC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OFFER 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PEP if:</w:t>
            </w:r>
          </w:p>
          <w:p w:rsidR="00E77BC9" w:rsidRPr="00E77BC9" w:rsidRDefault="00E77BC9" w:rsidP="00E77BC9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 to LVV was via injection, non-intact skin, via mucous membrane or droplet aerosol outside primary containment.</w:t>
            </w:r>
          </w:p>
          <w:p w:rsidR="00E77BC9" w:rsidRPr="00E77BC9" w:rsidRDefault="00E77BC9" w:rsidP="00E77BC9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E77BC9" w:rsidRPr="00E77BC9" w:rsidRDefault="00E77BC9" w:rsidP="00E77BC9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here are no contraindications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PEP is not recommended for exposure to intact skin that has been appropriately decontaminated. (If skin was inadvertently broken, due to vigorous scrubbing, consider PEP).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Chemoprophylaxis should begin ASAP. Integration of the transgene can occur as early as 2 hours and most likely within 10-12 hours after the exposure. Note that there is no likely benefit from PEP 72 hours after exposure.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other consequences of exposure: trauma, bleeding, tetanus vaccine status, HIV/AIDs history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 risk/benefit of use of these antivirals.  Generally considered safe, but consider nephrotoxicity, drug resistance, etc.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concerned about drug toxicity, use single drug regimen. </w:t>
            </w:r>
          </w:p>
          <w:p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pre-existing HIV and H</w:t>
            </w:r>
            <w:r w:rsidRPr="00E77BC9">
              <w:rPr>
                <w:rFonts w:ascii="Arial" w:eastAsia="Arial" w:hAnsi="Arial" w:cs="Arial"/>
                <w:sz w:val="20"/>
                <w:szCs w:val="20"/>
              </w:rPr>
              <w:t>BV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infection status. </w:t>
            </w:r>
          </w:p>
          <w:p w:rsidR="00E77BC9" w:rsidRPr="00E77BC9" w:rsidRDefault="00E77BC9" w:rsidP="00E77BC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BC9" w:rsidRPr="00E77BC9" w:rsidTr="00C307F4">
        <w:tc>
          <w:tcPr>
            <w:tcW w:w="2430" w:type="dxa"/>
            <w:shd w:val="clear" w:color="auto" w:fill="FFFFFF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RECOMMENDED</w:t>
            </w:r>
          </w:p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PEP Regimen: </w:t>
            </w:r>
          </w:p>
        </w:tc>
        <w:tc>
          <w:tcPr>
            <w:tcW w:w="7740" w:type="dxa"/>
            <w:shd w:val="clear" w:color="auto" w:fill="FFFFFF"/>
          </w:tcPr>
          <w:p w:rsidR="00E77BC9" w:rsidRPr="00E77BC9" w:rsidRDefault="00E77BC9" w:rsidP="00E77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Two Drug Regimen</w:t>
            </w:r>
          </w:p>
          <w:p w:rsidR="00E77BC9" w:rsidRPr="00E77BC9" w:rsidRDefault="00E77BC9" w:rsidP="00E77BC9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Raltegravir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400 mg po twice daily x 7 days </w:t>
            </w:r>
          </w:p>
          <w:p w:rsidR="00E77BC9" w:rsidRPr="00E77BC9" w:rsidRDefault="00E77BC9" w:rsidP="00E77BC9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Tenofovir – 300 mg po once daily x 7 days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may substitute 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Descovy</w:t>
            </w:r>
            <w:proofErr w:type="spell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tenofovir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emtracitabine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pill daily x 7 days.)</w:t>
            </w:r>
          </w:p>
        </w:tc>
      </w:tr>
      <w:tr w:rsidR="00E77BC9" w:rsidRPr="00E77BC9" w:rsidTr="00C307F4">
        <w:tc>
          <w:tcPr>
            <w:tcW w:w="2430" w:type="dxa"/>
            <w:shd w:val="clear" w:color="auto" w:fill="FFFFFF"/>
          </w:tcPr>
          <w:p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Notes on PEP</w:t>
            </w:r>
          </w:p>
        </w:tc>
        <w:tc>
          <w:tcPr>
            <w:tcW w:w="7740" w:type="dxa"/>
            <w:shd w:val="clear" w:color="auto" w:fill="FFFFFF"/>
          </w:tcPr>
          <w:p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an off-label use of these anti-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retrovirals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, but routinely used in HIV PEP.  They have very good safety profiles, and further made safe by short regimen (7 days)</w:t>
            </w:r>
          </w:p>
          <w:p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Recommended by the 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Eagleson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Institute on lentiviral vector exposures.</w:t>
            </w:r>
          </w:p>
          <w:p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NNRTIs, protease inhibitors, entry inhibitors and fusion inhibitors would NOT be effective in this type of exposure</w:t>
            </w:r>
          </w:p>
        </w:tc>
      </w:tr>
    </w:tbl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77BC9">
        <w:rPr>
          <w:rFonts w:ascii="Arial" w:eastAsia="Arial" w:hAnsi="Arial" w:cs="Arial"/>
          <w:b/>
          <w:sz w:val="28"/>
          <w:szCs w:val="28"/>
        </w:rPr>
        <w:t>RESOURCES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7773B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 Berkeley Biosafety Officer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Phone #: (510) 849-7142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E77BC9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E77BC9">
        <w:rPr>
          <w:rFonts w:ascii="Arial" w:eastAsia="Arial" w:hAnsi="Arial" w:cs="Arial"/>
          <w:sz w:val="20"/>
          <w:szCs w:val="20"/>
        </w:rPr>
        <w:t>: bso@berkeley.edu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 xml:space="preserve">University Health </w:t>
      </w:r>
      <w:proofErr w:type="gramStart"/>
      <w:r w:rsidRPr="00E77BC9">
        <w:rPr>
          <w:rFonts w:ascii="Arial" w:eastAsia="Arial" w:hAnsi="Arial" w:cs="Arial"/>
          <w:sz w:val="20"/>
          <w:szCs w:val="20"/>
        </w:rPr>
        <w:t>Services  -</w:t>
      </w:r>
      <w:proofErr w:type="gramEnd"/>
      <w:r w:rsidRPr="00E77BC9">
        <w:rPr>
          <w:rFonts w:ascii="Arial" w:eastAsia="Arial" w:hAnsi="Arial" w:cs="Arial"/>
          <w:sz w:val="20"/>
          <w:szCs w:val="20"/>
        </w:rPr>
        <w:t xml:space="preserve"> 2222 Bancroft Way, Berkeley, CA 94720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Occupational Health Clinic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 xml:space="preserve">Monday through Friday 8:00 AM to 4:45 PM  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510-642-6891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 xml:space="preserve">UHS Urgent Care 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Monday – Friday 8:00 AM to 6:00 PM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510-642-3188</w:t>
      </w:r>
    </w:p>
    <w:p w:rsidR="00E77BC9" w:rsidRPr="00E77BC9" w:rsidRDefault="00E77BC9" w:rsidP="00E77BC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Sutter Alta Bates Summit MC - Emergency Department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2450 Ashby Avenue, Berkeley CA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510-204-4444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Open 24 hours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Reference: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E77BC9">
        <w:rPr>
          <w:rFonts w:ascii="Arial" w:eastAsia="Arial" w:hAnsi="Arial" w:cs="Arial"/>
          <w:sz w:val="20"/>
          <w:szCs w:val="20"/>
        </w:rPr>
        <w:t>Schlimgen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R, Howard J, Wooley D, Thompson M, Baden L, Yang O, </w:t>
      </w:r>
      <w:proofErr w:type="spellStart"/>
      <w:r w:rsidRPr="00E77BC9">
        <w:rPr>
          <w:rFonts w:ascii="Arial" w:eastAsia="Arial" w:hAnsi="Arial" w:cs="Arial"/>
          <w:sz w:val="20"/>
          <w:szCs w:val="20"/>
        </w:rPr>
        <w:t>Christiani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D, </w:t>
      </w:r>
      <w:proofErr w:type="spellStart"/>
      <w:r w:rsidRPr="00E77BC9">
        <w:rPr>
          <w:rFonts w:ascii="Arial" w:eastAsia="Arial" w:hAnsi="Arial" w:cs="Arial"/>
          <w:sz w:val="20"/>
          <w:szCs w:val="20"/>
        </w:rPr>
        <w:t>Mostoslavski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G, Diamond D, Duane E, Byers K, Winters T, Gelfand J, Fujimoto G, Hudson TW, Vyas J. 2016. Risks Associated with Lentiviral Vector Exposures and Prevention Strategies. J </w:t>
      </w:r>
      <w:proofErr w:type="spellStart"/>
      <w:r w:rsidRPr="00E77BC9">
        <w:rPr>
          <w:rFonts w:ascii="Arial" w:eastAsia="Arial" w:hAnsi="Arial" w:cs="Arial"/>
          <w:sz w:val="20"/>
          <w:szCs w:val="20"/>
        </w:rPr>
        <w:t>Occup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Environ Med Dec; 58(12): 1159-1166.</w:t>
      </w: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https://www.ncbi.nlm.nih.gov/pmc/articles/PMC5152689/</w:t>
      </w:r>
    </w:p>
    <w:p w:rsidR="00E77BC9" w:rsidRPr="006C7BC2" w:rsidRDefault="00E77BC9" w:rsidP="006C7BC2"/>
    <w:sectPr w:rsidR="00E77BC9" w:rsidRPr="006C7BC2" w:rsidSect="00E77BC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07" w:rsidRDefault="00136607" w:rsidP="00910912">
      <w:pPr>
        <w:spacing w:after="0" w:line="240" w:lineRule="auto"/>
      </w:pPr>
      <w:r>
        <w:separator/>
      </w:r>
    </w:p>
  </w:endnote>
  <w:endnote w:type="continuationSeparator" w:id="0">
    <w:p w:rsidR="00136607" w:rsidRDefault="00136607" w:rsidP="0091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9" w:rsidRDefault="001366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773B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07" w:rsidRDefault="00136607" w:rsidP="00910912">
      <w:pPr>
        <w:spacing w:after="0" w:line="240" w:lineRule="auto"/>
      </w:pPr>
      <w:r>
        <w:separator/>
      </w:r>
    </w:p>
  </w:footnote>
  <w:footnote w:type="continuationSeparator" w:id="0">
    <w:p w:rsidR="00136607" w:rsidRDefault="00136607" w:rsidP="0091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12" w:rsidRPr="00910912" w:rsidRDefault="00910912" w:rsidP="00910912">
    <w:pPr>
      <w:jc w:val="center"/>
      <w:rPr>
        <w:b/>
        <w:sz w:val="32"/>
        <w:szCs w:val="32"/>
      </w:rPr>
    </w:pPr>
    <w:bookmarkStart w:id="3" w:name="_Hlk23334099"/>
    <w:r>
      <w:rPr>
        <w:b/>
        <w:sz w:val="32"/>
        <w:szCs w:val="32"/>
      </w:rPr>
      <w:t xml:space="preserve">Lab-specific Lentivirus Exposure Response Plan </w:t>
    </w:r>
    <w:bookmarkEnd w:id="3"/>
    <w:r>
      <w:rPr>
        <w:b/>
        <w:sz w:val="32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49" w:rsidRDefault="00136607" w:rsidP="00E77BC9">
    <w:pPr>
      <w:jc w:val="center"/>
      <w:rPr>
        <w:color w:val="000000"/>
      </w:rPr>
    </w:pPr>
    <w:r>
      <w:rPr>
        <w:b/>
        <w:sz w:val="32"/>
        <w:szCs w:val="32"/>
      </w:rPr>
      <w:t>Lab-specific Lentivirus Exposure Response Plan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1A6"/>
    <w:multiLevelType w:val="multilevel"/>
    <w:tmpl w:val="1A1CE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DC100B"/>
    <w:multiLevelType w:val="multilevel"/>
    <w:tmpl w:val="6F84A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233F08"/>
    <w:multiLevelType w:val="multilevel"/>
    <w:tmpl w:val="D3449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317020"/>
    <w:multiLevelType w:val="multilevel"/>
    <w:tmpl w:val="72E65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054198"/>
    <w:multiLevelType w:val="multilevel"/>
    <w:tmpl w:val="39303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7F0D44"/>
    <w:multiLevelType w:val="multilevel"/>
    <w:tmpl w:val="4C548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021C17"/>
    <w:multiLevelType w:val="multilevel"/>
    <w:tmpl w:val="C0F40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181C2B"/>
    <w:multiLevelType w:val="multilevel"/>
    <w:tmpl w:val="C526B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E603B2"/>
    <w:multiLevelType w:val="multilevel"/>
    <w:tmpl w:val="D21C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321D45"/>
    <w:multiLevelType w:val="multilevel"/>
    <w:tmpl w:val="131A0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724C4C"/>
    <w:multiLevelType w:val="multilevel"/>
    <w:tmpl w:val="AEDA761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B82D8D"/>
    <w:multiLevelType w:val="multilevel"/>
    <w:tmpl w:val="5000A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AB17CF"/>
    <w:multiLevelType w:val="multilevel"/>
    <w:tmpl w:val="30768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B22BE1"/>
    <w:multiLevelType w:val="multilevel"/>
    <w:tmpl w:val="215C3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6A214A"/>
    <w:multiLevelType w:val="multilevel"/>
    <w:tmpl w:val="7FF66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3A3967"/>
    <w:multiLevelType w:val="multilevel"/>
    <w:tmpl w:val="BC4ADE7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D5716A"/>
    <w:multiLevelType w:val="multilevel"/>
    <w:tmpl w:val="844CD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312BF4"/>
    <w:multiLevelType w:val="multilevel"/>
    <w:tmpl w:val="C1789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3845BE"/>
    <w:multiLevelType w:val="multilevel"/>
    <w:tmpl w:val="BE204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D03537"/>
    <w:multiLevelType w:val="multilevel"/>
    <w:tmpl w:val="8F505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18"/>
  </w:num>
  <w:num w:numId="15">
    <w:abstractNumId w:val="3"/>
  </w:num>
  <w:num w:numId="16">
    <w:abstractNumId w:val="0"/>
  </w:num>
  <w:num w:numId="17">
    <w:abstractNumId w:val="16"/>
  </w:num>
  <w:num w:numId="18">
    <w:abstractNumId w:val="11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C2"/>
    <w:rsid w:val="000B283A"/>
    <w:rsid w:val="00136607"/>
    <w:rsid w:val="00204795"/>
    <w:rsid w:val="00271983"/>
    <w:rsid w:val="002D30B0"/>
    <w:rsid w:val="004669C9"/>
    <w:rsid w:val="004B009F"/>
    <w:rsid w:val="004D7206"/>
    <w:rsid w:val="006C7BC2"/>
    <w:rsid w:val="007773B9"/>
    <w:rsid w:val="00781E2E"/>
    <w:rsid w:val="00910912"/>
    <w:rsid w:val="00A16746"/>
    <w:rsid w:val="00C84E48"/>
    <w:rsid w:val="00D12E98"/>
    <w:rsid w:val="00DA1CCB"/>
    <w:rsid w:val="00E77BC9"/>
    <w:rsid w:val="00E822DF"/>
    <w:rsid w:val="00F57116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2BC22A"/>
  <w15:chartTrackingRefBased/>
  <w15:docId w15:val="{A21E0F76-2B42-44FA-B5BD-48450A9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B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C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6C7B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12"/>
  </w:style>
  <w:style w:type="paragraph" w:styleId="Footer">
    <w:name w:val="footer"/>
    <w:basedOn w:val="Normal"/>
    <w:link w:val="FooterChar"/>
    <w:uiPriority w:val="99"/>
    <w:unhideWhenUsed/>
    <w:rsid w:val="0091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3F90-4437-4C01-9147-05A373C3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 Hoai</dc:creator>
  <cp:keywords/>
  <dc:description/>
  <cp:lastModifiedBy>Olga Draper</cp:lastModifiedBy>
  <cp:revision>4</cp:revision>
  <dcterms:created xsi:type="dcterms:W3CDTF">2019-11-27T00:28:00Z</dcterms:created>
  <dcterms:modified xsi:type="dcterms:W3CDTF">2022-10-13T00:00:00Z</dcterms:modified>
</cp:coreProperties>
</file>