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4B" w:rsidRDefault="00BE3E4B" w:rsidP="004765C3">
      <w:pPr>
        <w:spacing w:before="100" w:beforeAutospacing="1" w:after="100" w:afterAutospacing="1"/>
        <w:ind w:right="270"/>
        <w:rPr>
          <w:i/>
          <w:sz w:val="16"/>
          <w:szCs w:val="16"/>
        </w:rPr>
      </w:pPr>
      <w:r>
        <w:rPr>
          <w:i/>
          <w:sz w:val="16"/>
          <w:szCs w:val="16"/>
        </w:rPr>
        <w:t>These safety training resources, prepared solely for the use of the Regents of the University of California, were provided by a variety of sources.  It is your responsibility to customize the information to match your specific operations.  Neither the University of California nor any of its employees, makes any warranty, express or implied, or assumes any legal liability or responsibility for the accuracy, completeness, or usefulness of any information,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University of California. The views and opinions of authors expressed herein do not necessarily state or reflect those of the University of California, and shall not be used for advertising or product endorsement purposes.</w:t>
      </w:r>
    </w:p>
    <w:p w:rsidR="00BE3E4B" w:rsidRDefault="00BE3E4B" w:rsidP="004765C3">
      <w:pPr>
        <w:ind w:right="270"/>
        <w:rPr>
          <w:sz w:val="52"/>
        </w:rPr>
      </w:pPr>
    </w:p>
    <w:p w:rsidR="00795AC7" w:rsidRDefault="00795AC7" w:rsidP="004765C3">
      <w:pPr>
        <w:ind w:left="-720" w:right="270"/>
        <w:jc w:val="center"/>
        <w:rPr>
          <w:sz w:val="52"/>
        </w:rPr>
      </w:pPr>
      <w:r>
        <w:rPr>
          <w:sz w:val="52"/>
        </w:rPr>
        <w:t>Standard Operating Procedure</w:t>
      </w:r>
    </w:p>
    <w:p w:rsidR="00795AC7" w:rsidRDefault="00795AC7" w:rsidP="004765C3">
      <w:pPr>
        <w:ind w:left="-720" w:right="270"/>
        <w:rPr>
          <w:sz w:val="36"/>
        </w:rPr>
      </w:pPr>
      <w:r>
        <w:rPr>
          <w:sz w:val="36"/>
        </w:rPr>
        <w:t>________________________</w:t>
      </w:r>
      <w:r w:rsidR="004765C3">
        <w:rPr>
          <w:sz w:val="36"/>
        </w:rPr>
        <w:t>__________________________</w:t>
      </w:r>
    </w:p>
    <w:p w:rsidR="00795AC7" w:rsidRDefault="00795AC7" w:rsidP="004765C3">
      <w:pPr>
        <w:ind w:left="-720" w:right="270"/>
        <w:rPr>
          <w:sz w:val="36"/>
        </w:rPr>
      </w:pPr>
    </w:p>
    <w:p w:rsidR="00795AC7" w:rsidRDefault="00CA6E51" w:rsidP="004765C3">
      <w:pPr>
        <w:spacing w:line="360" w:lineRule="auto"/>
        <w:ind w:left="-720" w:right="270"/>
        <w:rPr>
          <w:sz w:val="28"/>
        </w:rPr>
      </w:pPr>
      <w:r>
        <w:rPr>
          <w:sz w:val="28"/>
        </w:rPr>
        <w:pict>
          <v:line id="_x0000_s1058" style="position:absolute;left:0;text-align:left;z-index:251659776" from="63.75pt,12.7pt" to="468pt,12.7pt"/>
        </w:pict>
      </w:r>
      <w:r w:rsidR="00795AC7">
        <w:rPr>
          <w:sz w:val="28"/>
        </w:rPr>
        <w:t xml:space="preserve">Date: </w:t>
      </w:r>
      <w:r w:rsidR="00795AC7">
        <w:rPr>
          <w:sz w:val="28"/>
        </w:rPr>
        <w:tab/>
      </w:r>
      <w:r w:rsidR="00795AC7">
        <w:rPr>
          <w:sz w:val="28"/>
        </w:rPr>
        <w:tab/>
      </w:r>
      <w:r w:rsidR="00795AC7">
        <w:rPr>
          <w:sz w:val="28"/>
        </w:rPr>
        <w:tab/>
        <w:t>4/28/10</w:t>
      </w:r>
    </w:p>
    <w:p w:rsidR="00795AC7" w:rsidRDefault="00CA6E51" w:rsidP="004765C3">
      <w:pPr>
        <w:spacing w:line="360" w:lineRule="auto"/>
        <w:ind w:left="-720" w:right="270"/>
        <w:rPr>
          <w:sz w:val="28"/>
        </w:rPr>
      </w:pPr>
      <w:r>
        <w:rPr>
          <w:sz w:val="28"/>
        </w:rPr>
        <w:pict>
          <v:line id="_x0000_s1051" style="position:absolute;left:0;text-align:left;z-index:251655680" from="63pt,13.3pt" to="468pt,13.3pt"/>
        </w:pict>
      </w:r>
      <w:r w:rsidR="00795AC7">
        <w:rPr>
          <w:sz w:val="28"/>
        </w:rPr>
        <w:t xml:space="preserve">SOP Title:  </w:t>
      </w:r>
      <w:r w:rsidR="00795AC7">
        <w:rPr>
          <w:sz w:val="28"/>
        </w:rPr>
        <w:tab/>
      </w:r>
      <w:r w:rsidR="00795AC7">
        <w:rPr>
          <w:sz w:val="28"/>
        </w:rPr>
        <w:tab/>
        <w:t>Safe Use of Acid Solutions</w:t>
      </w:r>
    </w:p>
    <w:p w:rsidR="00795AC7" w:rsidRDefault="00CA6E51" w:rsidP="004765C3">
      <w:pPr>
        <w:spacing w:line="360" w:lineRule="auto"/>
        <w:ind w:left="-720" w:right="270"/>
        <w:rPr>
          <w:sz w:val="28"/>
        </w:rPr>
      </w:pPr>
      <w:r>
        <w:rPr>
          <w:sz w:val="28"/>
        </w:rPr>
        <w:pict>
          <v:line id="_x0000_s1057" style="position:absolute;left:0;text-align:left;z-index:251658752" from="99pt,13.9pt" to="468pt,13.9pt"/>
        </w:pict>
      </w:r>
      <w:r w:rsidR="00795AC7">
        <w:rPr>
          <w:sz w:val="28"/>
        </w:rPr>
        <w:t xml:space="preserve">Principal Investigator:  </w:t>
      </w:r>
      <w:r w:rsidR="00795AC7">
        <w:rPr>
          <w:sz w:val="28"/>
        </w:rPr>
        <w:tab/>
      </w:r>
    </w:p>
    <w:p w:rsidR="00795AC7" w:rsidRDefault="00CA6E51" w:rsidP="004765C3">
      <w:pPr>
        <w:spacing w:line="360" w:lineRule="auto"/>
        <w:ind w:left="-720" w:right="270"/>
        <w:rPr>
          <w:sz w:val="28"/>
        </w:rPr>
      </w:pPr>
      <w:r>
        <w:rPr>
          <w:sz w:val="28"/>
        </w:rPr>
        <w:pict>
          <v:line id="_x0000_s1056" style="position:absolute;left:0;text-align:left;z-index:251657728" from="101.25pt,14.5pt" to="470.25pt,14.5pt"/>
        </w:pict>
      </w:r>
      <w:r w:rsidR="00795AC7">
        <w:rPr>
          <w:sz w:val="28"/>
        </w:rPr>
        <w:t xml:space="preserve">Room and Building:  </w:t>
      </w:r>
      <w:r w:rsidR="00795AC7">
        <w:rPr>
          <w:sz w:val="28"/>
        </w:rPr>
        <w:tab/>
      </w:r>
    </w:p>
    <w:p w:rsidR="00795AC7" w:rsidRDefault="00CA6E51" w:rsidP="004765C3">
      <w:pPr>
        <w:spacing w:line="360" w:lineRule="auto"/>
        <w:ind w:left="-720" w:right="270"/>
        <w:rPr>
          <w:sz w:val="28"/>
        </w:rPr>
      </w:pPr>
      <w:r>
        <w:rPr>
          <w:sz w:val="28"/>
        </w:rPr>
        <w:pict>
          <v:line id="_x0000_s1054" style="position:absolute;left:0;text-align:left;z-index:251656704" from="99pt,15.1pt" to="468pt,15.1pt"/>
        </w:pict>
      </w:r>
      <w:r w:rsidR="00795AC7">
        <w:rPr>
          <w:sz w:val="28"/>
        </w:rPr>
        <w:t>Lab Phone Number:</w:t>
      </w:r>
      <w:r w:rsidR="00795AC7">
        <w:rPr>
          <w:sz w:val="28"/>
        </w:rPr>
        <w:tab/>
      </w:r>
    </w:p>
    <w:p w:rsidR="00795AC7" w:rsidRDefault="00795AC7" w:rsidP="004765C3">
      <w:pPr>
        <w:ind w:left="-720" w:right="270"/>
        <w:rPr>
          <w:sz w:val="28"/>
        </w:rPr>
      </w:pPr>
    </w:p>
    <w:p w:rsidR="00795AC7" w:rsidRDefault="00795AC7" w:rsidP="004765C3">
      <w:pPr>
        <w:ind w:left="-720" w:right="270"/>
        <w:rPr>
          <w:sz w:val="36"/>
        </w:rPr>
      </w:pPr>
      <w:r>
        <w:rPr>
          <w:sz w:val="36"/>
        </w:rPr>
        <w:t>Section 1 – Process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rPr>
          <w:trHeight w:val="3060"/>
        </w:trPr>
        <w:tc>
          <w:tcPr>
            <w:tcW w:w="10080" w:type="dxa"/>
          </w:tcPr>
          <w:p w:rsidR="00795AC7" w:rsidRDefault="00795AC7" w:rsidP="004765C3">
            <w:pPr>
              <w:pStyle w:val="BodyText"/>
              <w:ind w:right="270"/>
            </w:pPr>
            <w:r>
              <w:t xml:space="preserve">Mixing various concentrations of aqueous acid solutions. </w:t>
            </w:r>
          </w:p>
          <w:p w:rsidR="00795AC7" w:rsidRDefault="00795AC7" w:rsidP="004765C3">
            <w:pPr>
              <w:pStyle w:val="BodyText"/>
              <w:ind w:right="270"/>
            </w:pPr>
            <w:r>
              <w:t xml:space="preserve">Heat is released when strong acids are mixed with water. If you add water to acid, you form an extremely concentrated solution of acid initially and the solution may boil very violently, splashing concentrated acid. If you add acid to water, the solution that forms is very dilute and the small amount of heat released is not enough to vaporize and spatter it. </w:t>
            </w:r>
          </w:p>
          <w:p w:rsidR="00795AC7" w:rsidRDefault="00795AC7" w:rsidP="004765C3">
            <w:pPr>
              <w:ind w:right="270"/>
              <w:rPr>
                <w:rFonts w:ascii="Times" w:hAnsi="Times"/>
              </w:rPr>
            </w:pPr>
          </w:p>
          <w:p w:rsidR="00795AC7" w:rsidRDefault="00795AC7" w:rsidP="004765C3">
            <w:pPr>
              <w:ind w:right="270"/>
            </w:pPr>
            <w:r>
              <w:rPr>
                <w:rFonts w:ascii="Times" w:hAnsi="Times"/>
                <w:b/>
              </w:rPr>
              <w:t>Always Add Acid to water, and never the reverse</w:t>
            </w:r>
          </w:p>
        </w:tc>
      </w:tr>
    </w:tbl>
    <w:p w:rsidR="00795AC7" w:rsidRDefault="00795AC7" w:rsidP="004765C3">
      <w:pPr>
        <w:ind w:left="-720" w:right="270"/>
        <w:rPr>
          <w:sz w:val="36"/>
        </w:rPr>
      </w:pPr>
    </w:p>
    <w:p w:rsidR="00795AC7" w:rsidRDefault="00795AC7" w:rsidP="004765C3">
      <w:pPr>
        <w:ind w:left="-720" w:right="270"/>
        <w:rPr>
          <w:sz w:val="36"/>
        </w:rPr>
      </w:pPr>
      <w:r>
        <w:rPr>
          <w:sz w:val="36"/>
        </w:rPr>
        <w:t xml:space="preserve">Section 2 – Hazardous Chemicals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ind w:right="270"/>
              <w:rPr>
                <w:rFonts w:ascii="Times" w:hAnsi="Times"/>
              </w:rPr>
            </w:pPr>
            <w:r>
              <w:rPr>
                <w:rFonts w:ascii="Times" w:hAnsi="Times"/>
              </w:rPr>
              <w:t xml:space="preserve">Acids - nitric, sulfuric, hydrochloric, acetic, phosphoric, </w:t>
            </w:r>
            <w:proofErr w:type="spellStart"/>
            <w:r>
              <w:rPr>
                <w:rFonts w:ascii="Times" w:hAnsi="Times"/>
              </w:rPr>
              <w:t>perchloric</w:t>
            </w:r>
            <w:proofErr w:type="spellEnd"/>
            <w:r>
              <w:rPr>
                <w:rFonts w:ascii="Times" w:hAnsi="Times"/>
              </w:rPr>
              <w:t xml:space="preserve">, formic, </w:t>
            </w:r>
            <w:proofErr w:type="spellStart"/>
            <w:r>
              <w:rPr>
                <w:rFonts w:ascii="Times" w:hAnsi="Times"/>
              </w:rPr>
              <w:t>trichloroacetic</w:t>
            </w:r>
            <w:proofErr w:type="spellEnd"/>
            <w:r>
              <w:rPr>
                <w:rFonts w:ascii="Times" w:hAnsi="Times"/>
              </w:rPr>
              <w:t xml:space="preserve">, glacial </w:t>
            </w:r>
          </w:p>
          <w:p w:rsidR="00795AC7" w:rsidRDefault="00795AC7" w:rsidP="004765C3">
            <w:pPr>
              <w:ind w:right="270"/>
              <w:rPr>
                <w:rFonts w:ascii="Times" w:hAnsi="Times"/>
              </w:rPr>
            </w:pPr>
            <w:r>
              <w:rPr>
                <w:rFonts w:ascii="Times" w:hAnsi="Times"/>
              </w:rPr>
              <w:t xml:space="preserve">acetic, </w:t>
            </w:r>
          </w:p>
          <w:p w:rsidR="00795AC7" w:rsidRDefault="00795AC7" w:rsidP="004765C3">
            <w:pPr>
              <w:ind w:right="270"/>
            </w:pPr>
          </w:p>
        </w:tc>
      </w:tr>
    </w:tbl>
    <w:p w:rsidR="00795AC7" w:rsidRDefault="00795AC7" w:rsidP="004765C3">
      <w:pPr>
        <w:tabs>
          <w:tab w:val="left" w:pos="975"/>
        </w:tabs>
        <w:ind w:right="270"/>
        <w:rPr>
          <w:sz w:val="36"/>
        </w:rPr>
      </w:pPr>
    </w:p>
    <w:p w:rsidR="00795AC7" w:rsidRDefault="00795AC7" w:rsidP="004765C3">
      <w:pPr>
        <w:ind w:left="-720" w:right="270"/>
        <w:rPr>
          <w:sz w:val="36"/>
        </w:rPr>
      </w:pPr>
      <w:r>
        <w:rPr>
          <w:sz w:val="36"/>
        </w:rPr>
        <w:t>Section 3 – Potential Hazards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rPr>
          <w:trHeight w:val="73"/>
        </w:trPr>
        <w:tc>
          <w:tcPr>
            <w:tcW w:w="10080" w:type="dxa"/>
          </w:tcPr>
          <w:p w:rsidR="00795AC7" w:rsidRDefault="00795AC7" w:rsidP="004765C3">
            <w:pPr>
              <w:ind w:right="270"/>
            </w:pPr>
            <w:r>
              <w:rPr>
                <w:rFonts w:ascii="Times" w:hAnsi="Times"/>
              </w:rPr>
              <w:t>Skin tissue destruction (burn), eye tissue destruction from fumes or splash</w:t>
            </w:r>
          </w:p>
        </w:tc>
      </w:tr>
    </w:tbl>
    <w:p w:rsidR="00795AC7" w:rsidRDefault="00795AC7" w:rsidP="004765C3">
      <w:pPr>
        <w:ind w:right="270"/>
        <w:rPr>
          <w:sz w:val="36"/>
        </w:rPr>
      </w:pPr>
    </w:p>
    <w:p w:rsidR="00795AC7" w:rsidRDefault="00795AC7" w:rsidP="004765C3">
      <w:pPr>
        <w:ind w:right="270"/>
        <w:rPr>
          <w:sz w:val="36"/>
        </w:rPr>
      </w:pPr>
    </w:p>
    <w:p w:rsidR="00795AC7" w:rsidRDefault="00795AC7" w:rsidP="004765C3">
      <w:pPr>
        <w:ind w:left="-720" w:right="270"/>
        <w:rPr>
          <w:sz w:val="36"/>
        </w:rPr>
      </w:pPr>
      <w:r>
        <w:rPr>
          <w:sz w:val="36"/>
        </w:rPr>
        <w:lastRenderedPageBreak/>
        <w:t>Section 4 – Approvals Required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ind w:right="270"/>
            </w:pPr>
            <w:r>
              <w:t>None.</w:t>
            </w:r>
          </w:p>
          <w:p w:rsidR="00795AC7" w:rsidRDefault="00795AC7" w:rsidP="004765C3">
            <w:pPr>
              <w:ind w:right="270"/>
            </w:pPr>
          </w:p>
        </w:tc>
      </w:tr>
    </w:tbl>
    <w:p w:rsidR="00795AC7" w:rsidRDefault="00795AC7" w:rsidP="004765C3">
      <w:pPr>
        <w:ind w:right="270"/>
        <w:rPr>
          <w:sz w:val="36"/>
        </w:rPr>
      </w:pPr>
    </w:p>
    <w:p w:rsidR="00795AC7" w:rsidRDefault="00795AC7" w:rsidP="004765C3">
      <w:pPr>
        <w:ind w:left="-720" w:right="270"/>
        <w:rPr>
          <w:sz w:val="36"/>
        </w:rPr>
      </w:pPr>
      <w:r>
        <w:rPr>
          <w:sz w:val="36"/>
        </w:rPr>
        <w:t>Section 5 – Designated Area</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ind w:right="270"/>
            </w:pPr>
            <w:r>
              <w:t>Concentrated acids are to be used in a fume hood with eye-wash and safety shower close by.</w:t>
            </w:r>
            <w:r w:rsidR="00A56DBA">
              <w:t xml:space="preserve">  Adjust fume hood sash to serve as a splash shield.  Make sure there is plenty of room and always work more than 6 inches inside the fume hood.</w:t>
            </w:r>
          </w:p>
        </w:tc>
      </w:tr>
    </w:tbl>
    <w:p w:rsidR="00795AC7" w:rsidRDefault="00795AC7" w:rsidP="004765C3">
      <w:pPr>
        <w:ind w:right="270"/>
        <w:rPr>
          <w:sz w:val="36"/>
        </w:rPr>
      </w:pPr>
    </w:p>
    <w:p w:rsidR="00795AC7" w:rsidRDefault="00795AC7" w:rsidP="004765C3">
      <w:pPr>
        <w:ind w:left="-720" w:right="270"/>
        <w:rPr>
          <w:sz w:val="36"/>
        </w:rPr>
      </w:pPr>
      <w:r>
        <w:rPr>
          <w:sz w:val="36"/>
        </w:rPr>
        <w:t>Section 6 – Special Handling Procedures and Storage Requirements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widowControl w:val="0"/>
              <w:autoSpaceDE w:val="0"/>
              <w:autoSpaceDN w:val="0"/>
              <w:adjustRightInd w:val="0"/>
              <w:spacing w:after="320"/>
              <w:ind w:right="270"/>
              <w:rPr>
                <w:rFonts w:ascii="Times" w:hAnsi="Times"/>
              </w:rPr>
            </w:pPr>
            <w:r>
              <w:rPr>
                <w:rFonts w:ascii="Times" w:hAnsi="Times"/>
              </w:rPr>
              <w:t xml:space="preserve">Store mineral acids together, separate from oxidizing agents and organic materials. Store containers of acids and bases separately in chemical resistant secondary containers. This could be a polyethylene, PYREX or </w:t>
            </w:r>
            <w:proofErr w:type="spellStart"/>
            <w:r>
              <w:rPr>
                <w:rFonts w:ascii="Times" w:hAnsi="Times"/>
              </w:rPr>
              <w:t>Nalgene</w:t>
            </w:r>
            <w:proofErr w:type="spellEnd"/>
            <w:r>
              <w:rPr>
                <w:rFonts w:ascii="Times" w:hAnsi="Times"/>
              </w:rPr>
              <w:t xml:space="preserve"> tray or pan.</w:t>
            </w:r>
          </w:p>
          <w:p w:rsidR="00795AC7" w:rsidRDefault="00795AC7" w:rsidP="004765C3">
            <w:pPr>
              <w:widowControl w:val="0"/>
              <w:autoSpaceDE w:val="0"/>
              <w:autoSpaceDN w:val="0"/>
              <w:adjustRightInd w:val="0"/>
              <w:spacing w:after="320"/>
              <w:ind w:right="270"/>
              <w:rPr>
                <w:rFonts w:ascii="Times" w:hAnsi="Times"/>
              </w:rPr>
            </w:pPr>
            <w:r>
              <w:rPr>
                <w:rFonts w:ascii="Times" w:hAnsi="Times"/>
              </w:rPr>
              <w:t>Bottles of acid should be stored in an acid (corrosive) cabinet. While acids and bases are both considered to be corrosive, care must be taken to not store acids and bases in the same cabinet. It is particularly important to avoid storing ammonium hydroxide and strong mineral acids in the same cabinet.</w:t>
            </w:r>
          </w:p>
          <w:p w:rsidR="00795AC7" w:rsidRDefault="00795AC7" w:rsidP="004765C3">
            <w:pPr>
              <w:widowControl w:val="0"/>
              <w:autoSpaceDE w:val="0"/>
              <w:autoSpaceDN w:val="0"/>
              <w:adjustRightInd w:val="0"/>
              <w:spacing w:after="320"/>
              <w:ind w:right="270"/>
              <w:rPr>
                <w:rFonts w:ascii="Times" w:hAnsi="Times"/>
              </w:rPr>
            </w:pPr>
            <w:r>
              <w:rPr>
                <w:rFonts w:ascii="Times" w:hAnsi="Times"/>
              </w:rPr>
              <w:t xml:space="preserve">Oxidizing acids, such as fuming nitric, fuming sulfuric and nitric should be stored separately, in a secondary container within an acid cabinet. </w:t>
            </w:r>
          </w:p>
          <w:p w:rsidR="00795AC7" w:rsidRDefault="00795AC7" w:rsidP="004765C3">
            <w:pPr>
              <w:ind w:right="270"/>
              <w:rPr>
                <w:rFonts w:ascii="Times" w:hAnsi="Times"/>
              </w:rPr>
            </w:pPr>
            <w:r>
              <w:rPr>
                <w:rFonts w:ascii="Times" w:hAnsi="Times"/>
              </w:rPr>
              <w:t xml:space="preserve">Glacial acetic acid, although it is both a corrosive and flammable, should be stored with other, non-oxidizing acids </w:t>
            </w:r>
            <w:r w:rsidR="00A56DBA">
              <w:rPr>
                <w:rFonts w:ascii="Times" w:hAnsi="Times"/>
              </w:rPr>
              <w:t xml:space="preserve">segregated </w:t>
            </w:r>
            <w:r>
              <w:rPr>
                <w:rFonts w:ascii="Times" w:hAnsi="Times"/>
              </w:rPr>
              <w:t>away from those mentioned above, not in a flammables cabinet.</w:t>
            </w:r>
          </w:p>
          <w:p w:rsidR="00A56DBA" w:rsidRDefault="00A56DBA" w:rsidP="004765C3">
            <w:pPr>
              <w:ind w:right="270"/>
              <w:rPr>
                <w:rFonts w:ascii="Times" w:hAnsi="Times"/>
              </w:rPr>
            </w:pPr>
          </w:p>
          <w:p w:rsidR="00A56DBA" w:rsidRDefault="00A56DBA" w:rsidP="004765C3">
            <w:pPr>
              <w:ind w:right="270"/>
              <w:rPr>
                <w:rFonts w:ascii="Times" w:hAnsi="Times"/>
              </w:rPr>
            </w:pPr>
            <w:r>
              <w:rPr>
                <w:rFonts w:ascii="Times" w:hAnsi="Times"/>
              </w:rPr>
              <w:t xml:space="preserve">For more information specific to the acid review a MSDS.  Also review the Corrosive fact sheet available at EH&amp;S web site </w:t>
            </w:r>
            <w:r w:rsidRPr="00A56DBA">
              <w:rPr>
                <w:rFonts w:ascii="Times" w:hAnsi="Times"/>
              </w:rPr>
              <w:t>http://ehs.berkeley.edu/</w:t>
            </w:r>
            <w:r>
              <w:rPr>
                <w:rFonts w:ascii="Times" w:hAnsi="Times"/>
              </w:rPr>
              <w:t xml:space="preserve">. </w:t>
            </w:r>
          </w:p>
          <w:p w:rsidR="00795AC7" w:rsidRDefault="00795AC7" w:rsidP="004765C3">
            <w:pPr>
              <w:ind w:right="270"/>
            </w:pPr>
          </w:p>
        </w:tc>
      </w:tr>
    </w:tbl>
    <w:p w:rsidR="00795AC7" w:rsidRDefault="00795AC7" w:rsidP="004765C3">
      <w:pPr>
        <w:tabs>
          <w:tab w:val="left" w:pos="3495"/>
        </w:tabs>
        <w:ind w:right="270"/>
        <w:rPr>
          <w:sz w:val="36"/>
        </w:rPr>
      </w:pPr>
    </w:p>
    <w:p w:rsidR="00795AC7" w:rsidRDefault="00795AC7" w:rsidP="004765C3">
      <w:pPr>
        <w:ind w:left="-720" w:right="270"/>
        <w:rPr>
          <w:sz w:val="36"/>
        </w:rPr>
      </w:pPr>
      <w:r>
        <w:rPr>
          <w:sz w:val="36"/>
        </w:rPr>
        <w:t>Section 7 – Personal Protective Equipment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ind w:right="270"/>
              <w:rPr>
                <w:rFonts w:ascii="Times" w:hAnsi="Times"/>
              </w:rPr>
            </w:pPr>
            <w:r>
              <w:rPr>
                <w:rFonts w:ascii="Times" w:hAnsi="Times"/>
                <w:b/>
              </w:rPr>
              <w:t>Safety goggles</w:t>
            </w:r>
            <w:r>
              <w:rPr>
                <w:rFonts w:ascii="Times" w:hAnsi="Times"/>
              </w:rPr>
              <w:t>: Wear safety glasses or chemical safety goggles with face shield when using large quantities, or chemical safety goggles when using small quantities</w:t>
            </w:r>
          </w:p>
          <w:p w:rsidR="00795AC7" w:rsidRDefault="00795AC7" w:rsidP="004765C3">
            <w:pPr>
              <w:ind w:right="270"/>
              <w:rPr>
                <w:rFonts w:ascii="Times" w:hAnsi="Times"/>
              </w:rPr>
            </w:pPr>
            <w:r>
              <w:rPr>
                <w:rFonts w:ascii="Times" w:hAnsi="Times"/>
                <w:b/>
              </w:rPr>
              <w:t>Gloves</w:t>
            </w:r>
            <w:r>
              <w:rPr>
                <w:rFonts w:ascii="Times" w:hAnsi="Times"/>
              </w:rPr>
              <w:t>: (</w:t>
            </w:r>
            <w:proofErr w:type="spellStart"/>
            <w:r>
              <w:rPr>
                <w:rFonts w:ascii="Times" w:hAnsi="Times"/>
              </w:rPr>
              <w:t>nitrile</w:t>
            </w:r>
            <w:proofErr w:type="spellEnd"/>
            <w:r>
              <w:rPr>
                <w:rFonts w:ascii="Times" w:hAnsi="Times"/>
              </w:rPr>
              <w:t>, PVC, or neoprene provide</w:t>
            </w:r>
            <w:r w:rsidR="004765C3">
              <w:rPr>
                <w:rFonts w:ascii="Times" w:hAnsi="Times"/>
              </w:rPr>
              <w:t>s</w:t>
            </w:r>
            <w:r>
              <w:rPr>
                <w:rFonts w:ascii="Times" w:hAnsi="Times"/>
              </w:rPr>
              <w:t xml:space="preserve"> adequate protection). Avoid skin contact, serious burns may result. </w:t>
            </w:r>
          </w:p>
          <w:p w:rsidR="00795AC7" w:rsidRDefault="00795AC7" w:rsidP="004765C3">
            <w:pPr>
              <w:ind w:right="270"/>
              <w:rPr>
                <w:rFonts w:ascii="Times" w:hAnsi="Times"/>
              </w:rPr>
            </w:pPr>
            <w:r>
              <w:rPr>
                <w:rFonts w:ascii="Times" w:hAnsi="Times"/>
                <w:b/>
              </w:rPr>
              <w:t>Apron:</w:t>
            </w:r>
            <w:r>
              <w:rPr>
                <w:rFonts w:ascii="Times" w:hAnsi="Times"/>
              </w:rPr>
              <w:t xml:space="preserve"> Wear rubber, neoprene, or PVC apron when using large quantities and splash potential exists. </w:t>
            </w:r>
          </w:p>
          <w:p w:rsidR="00795AC7" w:rsidRDefault="00795AC7" w:rsidP="004765C3">
            <w:pPr>
              <w:ind w:right="270"/>
              <w:rPr>
                <w:rFonts w:ascii="Times" w:hAnsi="Times"/>
              </w:rPr>
            </w:pPr>
            <w:r>
              <w:rPr>
                <w:rFonts w:ascii="Times" w:hAnsi="Times"/>
                <w:b/>
              </w:rPr>
              <w:t>Lab coat</w:t>
            </w:r>
            <w:r>
              <w:rPr>
                <w:rFonts w:ascii="Times" w:hAnsi="Times"/>
              </w:rPr>
              <w:t xml:space="preserve"> when using small quantities. </w:t>
            </w:r>
          </w:p>
          <w:p w:rsidR="00795AC7" w:rsidRDefault="00795AC7" w:rsidP="004765C3">
            <w:pPr>
              <w:ind w:right="270"/>
              <w:rPr>
                <w:rFonts w:ascii="Times" w:hAnsi="Times"/>
              </w:rPr>
            </w:pPr>
            <w:r>
              <w:rPr>
                <w:rFonts w:ascii="Times" w:hAnsi="Times"/>
                <w:b/>
              </w:rPr>
              <w:t>Close-toed shoes</w:t>
            </w:r>
            <w:r>
              <w:rPr>
                <w:rFonts w:ascii="Times" w:hAnsi="Times"/>
              </w:rPr>
              <w:t xml:space="preserve"> and </w:t>
            </w:r>
            <w:r>
              <w:rPr>
                <w:rFonts w:ascii="Times" w:hAnsi="Times"/>
                <w:b/>
              </w:rPr>
              <w:t>long pants</w:t>
            </w:r>
            <w:r>
              <w:rPr>
                <w:rFonts w:ascii="Times" w:hAnsi="Times"/>
              </w:rPr>
              <w:t xml:space="preserve"> are required for all laboratory work.</w:t>
            </w:r>
          </w:p>
          <w:p w:rsidR="00795AC7" w:rsidRDefault="00795AC7" w:rsidP="004765C3">
            <w:pPr>
              <w:ind w:right="270"/>
            </w:pPr>
          </w:p>
        </w:tc>
      </w:tr>
    </w:tbl>
    <w:p w:rsidR="00795AC7" w:rsidRDefault="00795AC7" w:rsidP="004765C3">
      <w:pPr>
        <w:tabs>
          <w:tab w:val="left" w:pos="3495"/>
        </w:tabs>
        <w:ind w:right="270"/>
        <w:rPr>
          <w:sz w:val="36"/>
        </w:rPr>
      </w:pPr>
    </w:p>
    <w:p w:rsidR="00795AC7" w:rsidRDefault="00795AC7" w:rsidP="004765C3">
      <w:pPr>
        <w:ind w:left="-720" w:right="270"/>
        <w:rPr>
          <w:sz w:val="36"/>
        </w:rPr>
      </w:pPr>
      <w:r>
        <w:rPr>
          <w:sz w:val="36"/>
        </w:rPr>
        <w:t>Section 8 – Engineering/Ventilation Controls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ind w:right="270"/>
            </w:pPr>
            <w:r>
              <w:rPr>
                <w:rFonts w:ascii="Times" w:hAnsi="Times"/>
              </w:rPr>
              <w:t xml:space="preserve">Use concentrated acids in fume hood. A safety shower and eyewash must be available and </w:t>
            </w:r>
            <w:r>
              <w:rPr>
                <w:rFonts w:ascii="Times" w:hAnsi="Times"/>
              </w:rPr>
              <w:lastRenderedPageBreak/>
              <w:t>accessible when working with corrosive liquids.</w:t>
            </w:r>
            <w:r w:rsidR="006B54DE">
              <w:rPr>
                <w:rFonts w:ascii="Times" w:hAnsi="Times"/>
              </w:rPr>
              <w:t xml:space="preserve">  Test the eyewash to know that it is working and has recently been flushed.</w:t>
            </w:r>
          </w:p>
        </w:tc>
      </w:tr>
    </w:tbl>
    <w:p w:rsidR="00795AC7" w:rsidRDefault="00795AC7" w:rsidP="004765C3">
      <w:pPr>
        <w:ind w:left="-720" w:right="270"/>
        <w:rPr>
          <w:sz w:val="36"/>
        </w:rPr>
      </w:pPr>
    </w:p>
    <w:p w:rsidR="00795AC7" w:rsidRDefault="00795AC7" w:rsidP="004765C3">
      <w:pPr>
        <w:ind w:left="-720" w:right="270"/>
        <w:rPr>
          <w:sz w:val="36"/>
        </w:rPr>
      </w:pPr>
    </w:p>
    <w:p w:rsidR="00795AC7" w:rsidRDefault="00795AC7" w:rsidP="004765C3">
      <w:pPr>
        <w:tabs>
          <w:tab w:val="left" w:pos="3495"/>
        </w:tabs>
        <w:ind w:right="270"/>
        <w:rPr>
          <w:sz w:val="36"/>
        </w:rPr>
      </w:pPr>
    </w:p>
    <w:p w:rsidR="00795AC7" w:rsidRDefault="00795AC7" w:rsidP="004765C3">
      <w:pPr>
        <w:ind w:left="-720" w:right="270"/>
        <w:rPr>
          <w:sz w:val="36"/>
        </w:rPr>
      </w:pPr>
      <w:r>
        <w:rPr>
          <w:sz w:val="36"/>
        </w:rPr>
        <w:t>Section 9 – Spill and Accident Procedures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widowControl w:val="0"/>
              <w:autoSpaceDE w:val="0"/>
              <w:autoSpaceDN w:val="0"/>
              <w:adjustRightInd w:val="0"/>
              <w:spacing w:after="320"/>
              <w:ind w:right="270"/>
              <w:rPr>
                <w:rFonts w:ascii="Times" w:hAnsi="Times"/>
              </w:rPr>
            </w:pPr>
            <w:r>
              <w:rPr>
                <w:rFonts w:ascii="Times" w:hAnsi="Times"/>
                <w:b/>
              </w:rPr>
              <w:t>Skin exposure:</w:t>
            </w:r>
            <w:r>
              <w:rPr>
                <w:rFonts w:ascii="Times" w:hAnsi="Times"/>
              </w:rPr>
              <w:t xml:space="preserve"> Rinse affected skin with plenty of water while removing contaminated clothing and shoes. Rinse for at least 15 minutes. Seek medical attention.</w:t>
            </w:r>
          </w:p>
          <w:p w:rsidR="00795AC7" w:rsidRDefault="00795AC7" w:rsidP="004765C3">
            <w:pPr>
              <w:widowControl w:val="0"/>
              <w:autoSpaceDE w:val="0"/>
              <w:autoSpaceDN w:val="0"/>
              <w:adjustRightInd w:val="0"/>
              <w:spacing w:after="320"/>
              <w:ind w:right="270"/>
              <w:rPr>
                <w:rFonts w:ascii="Times" w:hAnsi="Times"/>
              </w:rPr>
            </w:pPr>
            <w:r>
              <w:rPr>
                <w:rFonts w:ascii="Times" w:hAnsi="Times"/>
                <w:b/>
              </w:rPr>
              <w:t>Eye exposure:</w:t>
            </w:r>
            <w:r>
              <w:rPr>
                <w:rFonts w:ascii="Times" w:hAnsi="Times"/>
              </w:rPr>
              <w:t xml:space="preserve"> Splashes may cause tissue destruction. Wash eyes for at least 15 minutes</w:t>
            </w:r>
            <w:r w:rsidR="006B54DE">
              <w:rPr>
                <w:rFonts w:ascii="Times" w:hAnsi="Times"/>
              </w:rPr>
              <w:t xml:space="preserve"> in eye/face wash</w:t>
            </w:r>
            <w:r>
              <w:rPr>
                <w:rFonts w:ascii="Times" w:hAnsi="Times"/>
              </w:rPr>
              <w:t>, lifting the upper and lower eyelids occasionally</w:t>
            </w:r>
            <w:r w:rsidR="004765C3">
              <w:rPr>
                <w:rFonts w:ascii="Times" w:hAnsi="Times"/>
              </w:rPr>
              <w:t xml:space="preserve"> (</w:t>
            </w:r>
            <w:r w:rsidR="006B54DE">
              <w:rPr>
                <w:rFonts w:ascii="Times" w:hAnsi="Times"/>
              </w:rPr>
              <w:t xml:space="preserve">ask for assistance). </w:t>
            </w:r>
            <w:r>
              <w:rPr>
                <w:rFonts w:ascii="Times" w:hAnsi="Times"/>
              </w:rPr>
              <w:t>Seek medical attention immediately.</w:t>
            </w:r>
          </w:p>
          <w:p w:rsidR="00795AC7" w:rsidRDefault="00795AC7" w:rsidP="004765C3">
            <w:pPr>
              <w:widowControl w:val="0"/>
              <w:autoSpaceDE w:val="0"/>
              <w:autoSpaceDN w:val="0"/>
              <w:adjustRightInd w:val="0"/>
              <w:spacing w:after="320"/>
              <w:ind w:right="270"/>
              <w:rPr>
                <w:rFonts w:ascii="Times" w:hAnsi="Times"/>
              </w:rPr>
            </w:pPr>
            <w:r>
              <w:rPr>
                <w:rFonts w:ascii="Times" w:hAnsi="Times"/>
                <w:b/>
              </w:rPr>
              <w:t>Small spills:</w:t>
            </w:r>
            <w:r>
              <w:rPr>
                <w:rFonts w:ascii="Times" w:hAnsi="Times"/>
              </w:rPr>
              <w:t xml:space="preserve"> Do not attempt cleanup if you feel unsure of your ability to do so or if you perceive the risk to be greater than normal laboratory operations. Cover spill with sodium carbonate or bicarbonate. When reaction stops</w:t>
            </w:r>
            <w:r w:rsidR="006B54DE">
              <w:rPr>
                <w:rFonts w:ascii="Times" w:hAnsi="Times"/>
              </w:rPr>
              <w:t>,</w:t>
            </w:r>
            <w:r>
              <w:rPr>
                <w:rFonts w:ascii="Times" w:hAnsi="Times"/>
              </w:rPr>
              <w:t xml:space="preserve"> pickup with damp sponge or paper towels</w:t>
            </w:r>
            <w:r w:rsidR="006B54DE">
              <w:rPr>
                <w:rFonts w:ascii="Times" w:hAnsi="Times"/>
              </w:rPr>
              <w:t xml:space="preserve"> (wearing PPE)</w:t>
            </w:r>
            <w:r>
              <w:rPr>
                <w:rFonts w:ascii="Times" w:hAnsi="Times"/>
              </w:rPr>
              <w:t xml:space="preserve">. Nearest spill cart is located in room </w:t>
            </w:r>
            <w:r w:rsidR="004765C3">
              <w:rPr>
                <w:rFonts w:ascii="Times" w:hAnsi="Times"/>
              </w:rPr>
              <w:t>_____</w:t>
            </w:r>
            <w:r>
              <w:rPr>
                <w:rFonts w:ascii="Times" w:hAnsi="Times"/>
              </w:rPr>
              <w:t>.</w:t>
            </w:r>
            <w:r w:rsidR="004765C3">
              <w:rPr>
                <w:rFonts w:ascii="Times" w:hAnsi="Times"/>
              </w:rPr>
              <w:t xml:space="preserve">  </w:t>
            </w:r>
            <w:r w:rsidR="006B54DE">
              <w:rPr>
                <w:rFonts w:ascii="Times" w:hAnsi="Times"/>
              </w:rPr>
              <w:t xml:space="preserve">Test liquid with pH paper. </w:t>
            </w:r>
          </w:p>
          <w:p w:rsidR="00795AC7" w:rsidRDefault="00795AC7" w:rsidP="004765C3">
            <w:pPr>
              <w:widowControl w:val="0"/>
              <w:autoSpaceDE w:val="0"/>
              <w:autoSpaceDN w:val="0"/>
              <w:adjustRightInd w:val="0"/>
              <w:spacing w:after="320"/>
              <w:ind w:right="270"/>
              <w:rPr>
                <w:rFonts w:ascii="Times" w:hAnsi="Times"/>
              </w:rPr>
            </w:pPr>
            <w:r>
              <w:rPr>
                <w:rFonts w:ascii="Times" w:hAnsi="Times"/>
                <w:b/>
              </w:rPr>
              <w:t>Large Spills:</w:t>
            </w:r>
            <w:r>
              <w:rPr>
                <w:rFonts w:ascii="Times" w:hAnsi="Times"/>
              </w:rPr>
              <w:t xml:space="preserve"> Notify others in area of spill. Turn off ignition sources in area. Evacuate area and post doors to spill area. Call EH&amp;S:  Office of Environmental Health &amp; Safety 510-642-3073</w:t>
            </w:r>
            <w:r w:rsidR="006B54DE">
              <w:rPr>
                <w:rFonts w:ascii="Times" w:hAnsi="Times"/>
              </w:rPr>
              <w:t>,</w:t>
            </w:r>
            <w:r>
              <w:rPr>
                <w:rFonts w:ascii="Times" w:hAnsi="Times"/>
              </w:rPr>
              <w:t xml:space="preserve"> University Police 911 </w:t>
            </w:r>
          </w:p>
          <w:p w:rsidR="00795AC7" w:rsidRDefault="00795AC7" w:rsidP="004765C3">
            <w:pPr>
              <w:ind w:right="270"/>
              <w:rPr>
                <w:rFonts w:ascii="Times" w:hAnsi="Times"/>
              </w:rPr>
            </w:pPr>
            <w:r>
              <w:rPr>
                <w:rFonts w:ascii="Times" w:hAnsi="Times"/>
              </w:rPr>
              <w:t xml:space="preserve">Remain on the scene, but at a safe distance, to receive and direct safety personnel when they arrive.  </w:t>
            </w:r>
          </w:p>
          <w:p w:rsidR="00795AC7" w:rsidRDefault="00795AC7" w:rsidP="004765C3">
            <w:pPr>
              <w:ind w:right="270"/>
              <w:rPr>
                <w:rFonts w:ascii="Times" w:hAnsi="Times"/>
              </w:rPr>
            </w:pPr>
            <w:r>
              <w:rPr>
                <w:rFonts w:ascii="Times" w:hAnsi="Times"/>
              </w:rPr>
              <w:t xml:space="preserve">Restrict persons from area of spill or leak until cleanup is complete. Remain in area in safe location </w:t>
            </w:r>
          </w:p>
          <w:p w:rsidR="00795AC7" w:rsidRDefault="00795AC7" w:rsidP="004765C3">
            <w:pPr>
              <w:ind w:right="270"/>
              <w:rPr>
                <w:rFonts w:ascii="Times" w:hAnsi="Times"/>
              </w:rPr>
            </w:pPr>
            <w:proofErr w:type="gramStart"/>
            <w:r>
              <w:rPr>
                <w:rFonts w:ascii="Times" w:hAnsi="Times"/>
              </w:rPr>
              <w:t>to</w:t>
            </w:r>
            <w:proofErr w:type="gramEnd"/>
            <w:r>
              <w:rPr>
                <w:rFonts w:ascii="Times" w:hAnsi="Times"/>
              </w:rPr>
              <w:t xml:space="preserve"> assist EH&amp;S with response.</w:t>
            </w:r>
          </w:p>
          <w:p w:rsidR="00795AC7" w:rsidRDefault="00795AC7" w:rsidP="004765C3">
            <w:pPr>
              <w:ind w:right="270"/>
            </w:pPr>
          </w:p>
        </w:tc>
      </w:tr>
    </w:tbl>
    <w:p w:rsidR="00795AC7" w:rsidRDefault="00795AC7" w:rsidP="004765C3">
      <w:pPr>
        <w:tabs>
          <w:tab w:val="left" w:pos="3495"/>
        </w:tabs>
        <w:ind w:right="270"/>
        <w:rPr>
          <w:sz w:val="36"/>
        </w:rPr>
      </w:pPr>
    </w:p>
    <w:p w:rsidR="00795AC7" w:rsidRDefault="00795AC7" w:rsidP="004765C3">
      <w:pPr>
        <w:ind w:left="-720" w:right="270"/>
        <w:rPr>
          <w:sz w:val="36"/>
        </w:rPr>
      </w:pPr>
      <w:r>
        <w:rPr>
          <w:sz w:val="36"/>
        </w:rPr>
        <w:t>Section 10 – Waste Disposal</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pStyle w:val="BodyText"/>
              <w:ind w:right="270"/>
            </w:pPr>
            <w:r>
              <w:t xml:space="preserve">Dispose of </w:t>
            </w:r>
            <w:r w:rsidR="006B54DE">
              <w:t xml:space="preserve">acid </w:t>
            </w:r>
            <w:r>
              <w:t xml:space="preserve">waste through EH&amp;S. </w:t>
            </w:r>
          </w:p>
          <w:p w:rsidR="00795AC7" w:rsidRDefault="00795AC7" w:rsidP="004765C3">
            <w:pPr>
              <w:ind w:right="270"/>
              <w:rPr>
                <w:rFonts w:ascii="Times" w:hAnsi="Times"/>
              </w:rPr>
            </w:pPr>
          </w:p>
          <w:p w:rsidR="00795AC7" w:rsidRDefault="00795AC7" w:rsidP="004765C3">
            <w:pPr>
              <w:ind w:right="270"/>
            </w:pPr>
            <w:r>
              <w:rPr>
                <w:rFonts w:ascii="Times" w:hAnsi="Times"/>
              </w:rPr>
              <w:t xml:space="preserve">Many times, the </w:t>
            </w:r>
            <w:r w:rsidR="006B54DE">
              <w:rPr>
                <w:rFonts w:ascii="Times" w:hAnsi="Times"/>
              </w:rPr>
              <w:t xml:space="preserve">weak </w:t>
            </w:r>
            <w:r>
              <w:rPr>
                <w:rFonts w:ascii="Times" w:hAnsi="Times"/>
              </w:rPr>
              <w:t xml:space="preserve">acids you are working with can be neutralized through titration with an appropriate </w:t>
            </w:r>
          </w:p>
          <w:p w:rsidR="00795AC7" w:rsidRDefault="00795AC7" w:rsidP="004765C3">
            <w:pPr>
              <w:ind w:right="270"/>
              <w:rPr>
                <w:rFonts w:ascii="Times" w:hAnsi="Times"/>
              </w:rPr>
            </w:pPr>
            <w:proofErr w:type="gramStart"/>
            <w:r>
              <w:rPr>
                <w:rFonts w:ascii="Times" w:hAnsi="Times"/>
              </w:rPr>
              <w:t>base</w:t>
            </w:r>
            <w:proofErr w:type="gramEnd"/>
            <w:r>
              <w:rPr>
                <w:rFonts w:ascii="Times" w:hAnsi="Times"/>
              </w:rPr>
              <w:t xml:space="preserve"> and then disposed of down the drain. Please check drain disposal guidelines for allowable </w:t>
            </w:r>
          </w:p>
          <w:p w:rsidR="00795AC7" w:rsidRDefault="00795AC7" w:rsidP="004765C3">
            <w:pPr>
              <w:ind w:right="270"/>
              <w:rPr>
                <w:rFonts w:ascii="Times" w:hAnsi="Times"/>
              </w:rPr>
            </w:pPr>
            <w:proofErr w:type="gramStart"/>
            <w:r>
              <w:rPr>
                <w:rFonts w:ascii="Times" w:hAnsi="Times"/>
              </w:rPr>
              <w:t>chemicals</w:t>
            </w:r>
            <w:proofErr w:type="gramEnd"/>
            <w:r>
              <w:rPr>
                <w:rFonts w:ascii="Times" w:hAnsi="Times"/>
              </w:rPr>
              <w:t xml:space="preserve"> and quantities.</w:t>
            </w:r>
            <w:r w:rsidR="006B54DE">
              <w:rPr>
                <w:rFonts w:ascii="Times" w:hAnsi="Times"/>
              </w:rPr>
              <w:t xml:space="preserve">  </w:t>
            </w:r>
            <w:hyperlink r:id="rId10" w:history="1">
              <w:r w:rsidR="006B54DE" w:rsidRPr="00626BBA">
                <w:rPr>
                  <w:rStyle w:val="Hyperlink"/>
                  <w:rFonts w:ascii="Times" w:hAnsi="Times"/>
                </w:rPr>
                <w:t>http://www.ehs.berkeley.edu/pubs/guidelines/draindisposal.pdf</w:t>
              </w:r>
            </w:hyperlink>
            <w:r w:rsidR="006B54DE">
              <w:rPr>
                <w:rFonts w:ascii="Times" w:hAnsi="Times"/>
              </w:rPr>
              <w:t xml:space="preserve"> .  The pH of the solution must be between pH5-10.</w:t>
            </w:r>
          </w:p>
          <w:p w:rsidR="00795AC7" w:rsidRDefault="00795AC7" w:rsidP="004765C3">
            <w:pPr>
              <w:ind w:right="270"/>
            </w:pPr>
          </w:p>
          <w:p w:rsidR="00795AC7" w:rsidRDefault="00795AC7" w:rsidP="004765C3">
            <w:pPr>
              <w:ind w:right="270"/>
            </w:pPr>
          </w:p>
        </w:tc>
      </w:tr>
    </w:tbl>
    <w:p w:rsidR="00795AC7" w:rsidRDefault="00795AC7" w:rsidP="004765C3">
      <w:pPr>
        <w:ind w:left="-720" w:right="270"/>
        <w:rPr>
          <w:sz w:val="36"/>
        </w:rPr>
      </w:pPr>
    </w:p>
    <w:p w:rsidR="00795AC7" w:rsidRDefault="00795AC7" w:rsidP="004765C3">
      <w:pPr>
        <w:ind w:left="-720" w:right="270"/>
        <w:rPr>
          <w:sz w:val="36"/>
        </w:rPr>
      </w:pPr>
      <w:r>
        <w:rPr>
          <w:sz w:val="36"/>
        </w:rPr>
        <w:t>Section 11 - Decontamination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795AC7">
        <w:tc>
          <w:tcPr>
            <w:tcW w:w="10080" w:type="dxa"/>
          </w:tcPr>
          <w:p w:rsidR="00795AC7" w:rsidRDefault="00795AC7" w:rsidP="004765C3">
            <w:pPr>
              <w:pStyle w:val="BodyText"/>
              <w:ind w:right="270"/>
            </w:pPr>
            <w:r>
              <w:t>Use sodium bicarbonate and water.</w:t>
            </w:r>
            <w:r w:rsidR="006B54DE">
              <w:t xml:space="preserve"> Final wash with soap, maybe test with pH paper.</w:t>
            </w:r>
          </w:p>
          <w:p w:rsidR="00795AC7" w:rsidRDefault="00795AC7" w:rsidP="004765C3">
            <w:pPr>
              <w:ind w:right="270"/>
            </w:pPr>
          </w:p>
        </w:tc>
      </w:tr>
    </w:tbl>
    <w:p w:rsidR="00795AC7" w:rsidRDefault="00795AC7" w:rsidP="004765C3">
      <w:pPr>
        <w:tabs>
          <w:tab w:val="left" w:pos="3495"/>
        </w:tabs>
        <w:ind w:right="270"/>
        <w:rPr>
          <w:sz w:val="36"/>
        </w:rPr>
      </w:pPr>
    </w:p>
    <w:p w:rsidR="00795AC7" w:rsidRDefault="00795AC7" w:rsidP="004765C3">
      <w:pPr>
        <w:tabs>
          <w:tab w:val="left" w:pos="3495"/>
        </w:tabs>
        <w:ind w:right="270"/>
        <w:rPr>
          <w:sz w:val="36"/>
        </w:rPr>
      </w:pPr>
    </w:p>
    <w:p w:rsidR="00795AC7" w:rsidRDefault="00795AC7" w:rsidP="004765C3">
      <w:pPr>
        <w:tabs>
          <w:tab w:val="left" w:pos="3495"/>
        </w:tabs>
        <w:ind w:right="270"/>
        <w:jc w:val="center"/>
        <w:rPr>
          <w:sz w:val="52"/>
        </w:rPr>
      </w:pPr>
      <w:r>
        <w:rPr>
          <w:sz w:val="52"/>
        </w:rPr>
        <w:t>Training Documentation</w:t>
      </w:r>
    </w:p>
    <w:p w:rsidR="00795AC7" w:rsidRDefault="00795AC7" w:rsidP="004765C3">
      <w:pPr>
        <w:tabs>
          <w:tab w:val="left" w:pos="3495"/>
        </w:tabs>
        <w:ind w:right="270"/>
        <w:jc w:val="center"/>
        <w:rPr>
          <w:sz w:val="4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320"/>
        <w:gridCol w:w="1800"/>
      </w:tblGrid>
      <w:tr w:rsidR="00795AC7">
        <w:tc>
          <w:tcPr>
            <w:tcW w:w="3960" w:type="dxa"/>
          </w:tcPr>
          <w:p w:rsidR="00795AC7" w:rsidRDefault="00795AC7" w:rsidP="004765C3">
            <w:pPr>
              <w:tabs>
                <w:tab w:val="left" w:pos="3495"/>
              </w:tabs>
              <w:ind w:right="270"/>
              <w:jc w:val="center"/>
              <w:rPr>
                <w:sz w:val="32"/>
              </w:rPr>
            </w:pPr>
            <w:r>
              <w:rPr>
                <w:sz w:val="32"/>
              </w:rPr>
              <w:t>Name (Printed)</w:t>
            </w:r>
          </w:p>
        </w:tc>
        <w:tc>
          <w:tcPr>
            <w:tcW w:w="4320" w:type="dxa"/>
          </w:tcPr>
          <w:p w:rsidR="00795AC7" w:rsidRDefault="00795AC7" w:rsidP="004765C3">
            <w:pPr>
              <w:tabs>
                <w:tab w:val="left" w:pos="3495"/>
              </w:tabs>
              <w:ind w:right="270"/>
              <w:jc w:val="center"/>
              <w:rPr>
                <w:sz w:val="32"/>
              </w:rPr>
            </w:pPr>
            <w:r>
              <w:rPr>
                <w:sz w:val="32"/>
              </w:rPr>
              <w:t>Signature</w:t>
            </w:r>
          </w:p>
        </w:tc>
        <w:tc>
          <w:tcPr>
            <w:tcW w:w="1800" w:type="dxa"/>
          </w:tcPr>
          <w:p w:rsidR="00795AC7" w:rsidRDefault="00795AC7" w:rsidP="004765C3">
            <w:pPr>
              <w:tabs>
                <w:tab w:val="left" w:pos="3495"/>
              </w:tabs>
              <w:ind w:right="270"/>
              <w:jc w:val="center"/>
              <w:rPr>
                <w:sz w:val="32"/>
              </w:rPr>
            </w:pPr>
            <w:r>
              <w:rPr>
                <w:sz w:val="32"/>
              </w:rPr>
              <w:t>Date</w:t>
            </w: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r w:rsidR="00795AC7">
        <w:tc>
          <w:tcPr>
            <w:tcW w:w="3960" w:type="dxa"/>
          </w:tcPr>
          <w:p w:rsidR="00795AC7" w:rsidRDefault="00795AC7" w:rsidP="004765C3">
            <w:pPr>
              <w:tabs>
                <w:tab w:val="left" w:pos="3495"/>
              </w:tabs>
              <w:ind w:right="270"/>
              <w:jc w:val="center"/>
              <w:rPr>
                <w:sz w:val="36"/>
              </w:rPr>
            </w:pPr>
          </w:p>
        </w:tc>
        <w:tc>
          <w:tcPr>
            <w:tcW w:w="4320" w:type="dxa"/>
          </w:tcPr>
          <w:p w:rsidR="00795AC7" w:rsidRDefault="00795AC7" w:rsidP="004765C3">
            <w:pPr>
              <w:tabs>
                <w:tab w:val="left" w:pos="3495"/>
              </w:tabs>
              <w:ind w:right="270"/>
              <w:jc w:val="center"/>
              <w:rPr>
                <w:sz w:val="36"/>
              </w:rPr>
            </w:pPr>
          </w:p>
        </w:tc>
        <w:tc>
          <w:tcPr>
            <w:tcW w:w="1800" w:type="dxa"/>
          </w:tcPr>
          <w:p w:rsidR="00795AC7" w:rsidRDefault="00795AC7" w:rsidP="004765C3">
            <w:pPr>
              <w:tabs>
                <w:tab w:val="left" w:pos="3495"/>
              </w:tabs>
              <w:ind w:right="270"/>
              <w:jc w:val="center"/>
              <w:rPr>
                <w:sz w:val="36"/>
              </w:rPr>
            </w:pPr>
          </w:p>
        </w:tc>
      </w:tr>
    </w:tbl>
    <w:p w:rsidR="00795AC7" w:rsidRDefault="00795AC7" w:rsidP="004765C3">
      <w:pPr>
        <w:tabs>
          <w:tab w:val="left" w:pos="3495"/>
        </w:tabs>
        <w:ind w:right="270"/>
        <w:jc w:val="center"/>
        <w:rPr>
          <w:sz w:val="44"/>
        </w:rPr>
      </w:pPr>
    </w:p>
    <w:sectPr w:rsidR="00795AC7" w:rsidSect="00CA6E51">
      <w:footerReference w:type="even" r:id="rId11"/>
      <w:footerReference w:type="default" r:id="rId12"/>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02" w:rsidRDefault="00531C02">
      <w:r>
        <w:separator/>
      </w:r>
    </w:p>
  </w:endnote>
  <w:endnote w:type="continuationSeparator" w:id="0">
    <w:p w:rsidR="00531C02" w:rsidRDefault="00531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MT">
    <w:altName w:val="Times"/>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02" w:rsidRDefault="00CA6E51">
    <w:pPr>
      <w:pStyle w:val="Footer"/>
      <w:framePr w:wrap="around" w:vAnchor="text" w:hAnchor="margin" w:xAlign="right" w:y="1"/>
      <w:rPr>
        <w:rStyle w:val="PageNumber"/>
      </w:rPr>
    </w:pPr>
    <w:r>
      <w:rPr>
        <w:rStyle w:val="PageNumber"/>
      </w:rPr>
      <w:fldChar w:fldCharType="begin"/>
    </w:r>
    <w:r w:rsidR="00531C02">
      <w:rPr>
        <w:rStyle w:val="PageNumber"/>
      </w:rPr>
      <w:instrText xml:space="preserve">PAGE  </w:instrText>
    </w:r>
    <w:r>
      <w:rPr>
        <w:rStyle w:val="PageNumber"/>
      </w:rPr>
      <w:fldChar w:fldCharType="end"/>
    </w:r>
  </w:p>
  <w:p w:rsidR="00531C02" w:rsidRDefault="00531C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02" w:rsidRDefault="00CA6E51">
    <w:pPr>
      <w:pStyle w:val="Footer"/>
      <w:framePr w:wrap="around" w:vAnchor="text" w:hAnchor="margin" w:xAlign="right" w:y="1"/>
      <w:rPr>
        <w:rStyle w:val="PageNumber"/>
      </w:rPr>
    </w:pPr>
    <w:r>
      <w:rPr>
        <w:rStyle w:val="PageNumber"/>
      </w:rPr>
      <w:fldChar w:fldCharType="begin"/>
    </w:r>
    <w:r w:rsidR="00531C02">
      <w:rPr>
        <w:rStyle w:val="PageNumber"/>
      </w:rPr>
      <w:instrText xml:space="preserve">PAGE  </w:instrText>
    </w:r>
    <w:r>
      <w:rPr>
        <w:rStyle w:val="PageNumber"/>
      </w:rPr>
      <w:fldChar w:fldCharType="separate"/>
    </w:r>
    <w:r w:rsidR="0067765F">
      <w:rPr>
        <w:rStyle w:val="PageNumber"/>
        <w:noProof/>
      </w:rPr>
      <w:t>1</w:t>
    </w:r>
    <w:r>
      <w:rPr>
        <w:rStyle w:val="PageNumber"/>
      </w:rPr>
      <w:fldChar w:fldCharType="end"/>
    </w:r>
  </w:p>
  <w:p w:rsidR="00531C02" w:rsidRDefault="00531C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02" w:rsidRDefault="00531C02">
      <w:r>
        <w:separator/>
      </w:r>
    </w:p>
  </w:footnote>
  <w:footnote w:type="continuationSeparator" w:id="0">
    <w:p w:rsidR="00531C02" w:rsidRDefault="00531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characterSpacingControl w:val="doNotCompress"/>
  <w:footnotePr>
    <w:footnote w:id="-1"/>
    <w:footnote w:id="0"/>
  </w:footnotePr>
  <w:endnotePr>
    <w:endnote w:id="-1"/>
    <w:endnote w:id="0"/>
  </w:endnotePr>
  <w:compat/>
  <w:rsids>
    <w:rsidRoot w:val="00C57900"/>
    <w:rsid w:val="004765C3"/>
    <w:rsid w:val="00531C02"/>
    <w:rsid w:val="0067765F"/>
    <w:rsid w:val="006B54DE"/>
    <w:rsid w:val="00795AC7"/>
    <w:rsid w:val="00A56DBA"/>
    <w:rsid w:val="00BE3E4B"/>
    <w:rsid w:val="00C57900"/>
    <w:rsid w:val="00CA6E51"/>
    <w:rsid w:val="00DE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6E51"/>
    <w:pPr>
      <w:ind w:right="-720"/>
    </w:pPr>
    <w:rPr>
      <w:rFonts w:ascii="Times" w:hAnsi="Times"/>
    </w:rPr>
  </w:style>
  <w:style w:type="paragraph" w:styleId="BodyText2">
    <w:name w:val="Body Text 2"/>
    <w:basedOn w:val="Normal"/>
    <w:rsid w:val="00CA6E51"/>
    <w:pPr>
      <w:ind w:right="-720"/>
    </w:pPr>
    <w:rPr>
      <w:rFonts w:ascii="ArialMT" w:hAnsi="ArialMT"/>
      <w:sz w:val="32"/>
    </w:rPr>
  </w:style>
  <w:style w:type="paragraph" w:styleId="Footer">
    <w:name w:val="footer"/>
    <w:basedOn w:val="Normal"/>
    <w:rsid w:val="00CA6E51"/>
    <w:pPr>
      <w:tabs>
        <w:tab w:val="center" w:pos="4320"/>
        <w:tab w:val="right" w:pos="8640"/>
      </w:tabs>
    </w:pPr>
  </w:style>
  <w:style w:type="character" w:styleId="PageNumber">
    <w:name w:val="page number"/>
    <w:basedOn w:val="DefaultParagraphFont"/>
    <w:rsid w:val="00CA6E51"/>
  </w:style>
  <w:style w:type="paragraph" w:styleId="BalloonText">
    <w:name w:val="Balloon Text"/>
    <w:basedOn w:val="Normal"/>
    <w:link w:val="BalloonTextChar"/>
    <w:uiPriority w:val="99"/>
    <w:semiHidden/>
    <w:unhideWhenUsed/>
    <w:rsid w:val="00A56DBA"/>
    <w:rPr>
      <w:rFonts w:ascii="Tahoma" w:hAnsi="Tahoma" w:cs="Tahoma"/>
      <w:sz w:val="16"/>
      <w:szCs w:val="16"/>
    </w:rPr>
  </w:style>
  <w:style w:type="character" w:customStyle="1" w:styleId="BalloonTextChar">
    <w:name w:val="Balloon Text Char"/>
    <w:basedOn w:val="DefaultParagraphFont"/>
    <w:link w:val="BalloonText"/>
    <w:uiPriority w:val="99"/>
    <w:semiHidden/>
    <w:rsid w:val="00A56DBA"/>
    <w:rPr>
      <w:rFonts w:ascii="Tahoma" w:hAnsi="Tahoma" w:cs="Tahoma"/>
      <w:sz w:val="16"/>
      <w:szCs w:val="16"/>
    </w:rPr>
  </w:style>
  <w:style w:type="character" w:styleId="Hyperlink">
    <w:name w:val="Hyperlink"/>
    <w:basedOn w:val="DefaultParagraphFont"/>
    <w:uiPriority w:val="99"/>
    <w:unhideWhenUsed/>
    <w:rsid w:val="006B54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3215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hs.berkeley.edu/pubs/guidelines/draindisposal.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ailTo xmlns="http://schemas.microsoft.com/sharepoint/v3">&amp;lt;sop@calshare.berkeley.edu&amp;gt;</EmailTo>
    <EmailSender xmlns="http://schemas.microsoft.com/sharepoint/v3">&lt;a href="mailto:stevemar@berkeley.edu"&gt;stevemar@berkeley.edu&lt;/a&gt;</EmailSender>
    <EmailFrom xmlns="http://schemas.microsoft.com/sharepoint/v3">Steve Maranzana &lt;stevemar@berkeley.edu&gt;</EmailFrom>
    <EmailSubject xmlns="http://schemas.microsoft.com/sharepoint/v3">SOPs</EmailSubject>
    <EmailCc xmlns="http://schemas.microsoft.com/sharepoint/v3" xsi:nil="true"/>
    <Department xmlns="37de0c72-2248-4225-9198-3d037e5e6aa5">Integrative Biology</Department>
  </documentManagement>
</p:properties>
</file>

<file path=customXml/item2.xml><?xml version="1.0" encoding="utf-8"?>
<LongProperties xmlns="http://schemas.microsoft.com/office/2006/metadata/longProperties">
  <LongProp xmlns="" name="EmailHeaders"><![CDATA[x-sender: stevemar@berkeley.edu
x-receiver: sop@calshare.berkeley.edu
Received: from cm02fe.IST.Berkeley.EDU ([169.229.217.233]) by CALS-PWEB01.berkeley.edu with Microsoft SMTPSVC(7.5.7600.16601);
	 Thu, 20 Jan 2011 15:21:50 -0800
Received: from com67.ehs.berkeley.edu ([128.32.150.67] helo=com67)
	by cm02fe.ist.berkeley.edu with esmtpsa (TLSv1:RC4-MD5:128)
	(Exim 4.72)
	(auth login:stevemar@berkeley.edu)
	(envelope-from <stevemar@berkeley.edu>)
	id 1Pg3p6-0007ty-7l
	for sop@calshare.berkeley.edu; Thu, 20 Jan 2011 15:21:49 -0800
From: Steve Maranzana <stevemar@berkeley.edu>
To: <sop@calshare.berkeley.edu>
Subject: SOPs
Date: Thu, 20 Jan 2011 15:21:48 -0800
Message-ID: <008201cbb8f8$cf9093b0$6eb1bb10$@edu>
MIME-Version: 1.0
Content-Type: multipart/mixed;
	boundary="----=_NextPart_000_0083_01CBB8B5.C16D53B0"
X-Mailer: Microsoft Office Outlook 12.0
Thread-Index: Acu4+M0DFIuqaOa/RTWXjdA/mF6+ZQ==
Content-Language: en-us
Return-Path: stevemar@berkeley.edu
X-OriginalArrivalTime: 20 Jan 2011 23:21:50.0349 (UTC) FILETIME=[D0BABBD0:01CBB8F8]
]]></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B8D3AD603CD445849BD8F2776B50DA" ma:contentTypeVersion="8" ma:contentTypeDescription="Create a new document." ma:contentTypeScope="" ma:versionID="4106c3e13dcaff8de25e41b238bcefac">
  <xsd:schema xmlns:xsd="http://www.w3.org/2001/XMLSchema" xmlns:xs="http://www.w3.org/2001/XMLSchema" xmlns:p="http://schemas.microsoft.com/office/2006/metadata/properties" xmlns:ns1="http://schemas.microsoft.com/sharepoint/v3" xmlns:ns2="37de0c72-2248-4225-9198-3d037e5e6aa5" targetNamespace="http://schemas.microsoft.com/office/2006/metadata/properties" ma:root="true" ma:fieldsID="fac446a2fbe063866d8104cbc11c3030" ns1:_="" ns2:_="">
    <xsd:import namespace="http://schemas.microsoft.com/sharepoint/v3"/>
    <xsd:import namespace="37de0c72-2248-4225-9198-3d037e5e6aa5"/>
    <xsd:element name="properties">
      <xsd:complexType>
        <xsd:sequence>
          <xsd:element name="documentManagement">
            <xsd:complexType>
              <xsd:all>
                <xsd:element ref="ns2:Department"/>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e0c72-2248-4225-9198-3d037e5e6aa5" elementFormDefault="qualified">
    <xsd:import namespace="http://schemas.microsoft.com/office/2006/documentManagement/types"/>
    <xsd:import namespace="http://schemas.microsoft.com/office/infopath/2007/PartnerControls"/>
    <xsd:element name="Department" ma:index="2"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B818C-BF65-4ED2-9D1C-E290C4C73FDC}"/>
</file>

<file path=customXml/itemProps2.xml><?xml version="1.0" encoding="utf-8"?>
<ds:datastoreItem xmlns:ds="http://schemas.openxmlformats.org/officeDocument/2006/customXml" ds:itemID="{5287C9CD-082D-46EE-9EA1-D9242BA43272}"/>
</file>

<file path=customXml/itemProps3.xml><?xml version="1.0" encoding="utf-8"?>
<ds:datastoreItem xmlns:ds="http://schemas.openxmlformats.org/officeDocument/2006/customXml" ds:itemID="{AF670B24-290B-4852-994D-54F959F3AB1E}"/>
</file>

<file path=customXml/itemProps4.xml><?xml version="1.0" encoding="utf-8"?>
<ds:datastoreItem xmlns:ds="http://schemas.openxmlformats.org/officeDocument/2006/customXml" ds:itemID="{3F6E9B8D-27E0-4C60-BEA8-7549B27BCA23}"/>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EHS</Company>
  <LinksUpToDate>false</LinksUpToDate>
  <CharactersWithSpaces>6109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Use of Acid Solution</dc:title>
  <dc:subject/>
  <dc:creator>010755802</dc:creator>
  <cp:keywords/>
  <dc:description/>
  <cp:lastModifiedBy>smaranz</cp:lastModifiedBy>
  <cp:revision>2</cp:revision>
  <dcterms:created xsi:type="dcterms:W3CDTF">2011-01-27T17:24:00Z</dcterms:created>
  <dcterms:modified xsi:type="dcterms:W3CDTF">2011-01-27T17:24:00Z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Integrative Biology</vt:lpwstr>
  </property>
  <property fmtid="{D5CDD505-2E9C-101B-9397-08002B2CF9AE}" pid="3" name="ContentType">
    <vt:lpwstr>Document</vt:lpwstr>
  </property>
  <property fmtid="{D5CDD505-2E9C-101B-9397-08002B2CF9AE}" pid="4" name="display_urn:schemas-microsoft-com:office:office#Editor">
    <vt:lpwstr>Steve A. MARANZANA</vt:lpwstr>
  </property>
  <property fmtid="{D5CDD505-2E9C-101B-9397-08002B2CF9AE}" pid="5" name="display_urn:schemas-microsoft-com:office:office#Author">
    <vt:lpwstr>Steve A. MARANZANA</vt:lpwstr>
  </property>
  <property fmtid="{D5CDD505-2E9C-101B-9397-08002B2CF9AE}" pid="6" name="ContentTypeId">
    <vt:lpwstr>0x01010045B8D3AD603CD445849BD8F2776B50DA</vt:lpwstr>
  </property>
</Properties>
</file>